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7F3BF970" w:rsidR="008F19D4" w:rsidRPr="00175CA5"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w:t>
      </w:r>
      <w:r w:rsidR="00D53AA9">
        <w:rPr>
          <w:rFonts w:cs="Arial"/>
          <w:bCs/>
          <w:noProof w:val="0"/>
          <w:sz w:val="24"/>
          <w:szCs w:val="24"/>
          <w:lang w:val="de-DE"/>
        </w:rPr>
        <w:t xml:space="preserve"> </w:t>
      </w:r>
      <w:r w:rsidR="00D53AA9" w:rsidRPr="00D53AA9">
        <w:rPr>
          <w:rFonts w:cs="Arial" w:hint="eastAsia"/>
          <w:bCs/>
          <w:noProof w:val="0"/>
          <w:sz w:val="24"/>
          <w:szCs w:val="24"/>
          <w:lang w:val="de-DE"/>
        </w:rPr>
        <w:t>M</w:t>
      </w:r>
      <w:r w:rsidR="00D53AA9" w:rsidRPr="00D53AA9">
        <w:rPr>
          <w:rFonts w:cs="Arial"/>
          <w:bCs/>
          <w:noProof w:val="0"/>
          <w:sz w:val="24"/>
          <w:szCs w:val="24"/>
          <w:lang w:val="de-DE"/>
        </w:rPr>
        <w:t>eeting</w:t>
      </w:r>
      <w:r w:rsidR="004A3294" w:rsidRPr="004A3294">
        <w:rPr>
          <w:rFonts w:cs="Arial"/>
          <w:bCs/>
          <w:noProof w:val="0"/>
          <w:sz w:val="24"/>
          <w:szCs w:val="24"/>
          <w:lang w:val="de-DE"/>
        </w:rPr>
        <w:t xml:space="preserve"> #96</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000C118E">
        <w:rPr>
          <w:rFonts w:eastAsia="SimSun" w:hint="eastAsia"/>
          <w:i/>
          <w:noProof w:val="0"/>
          <w:sz w:val="24"/>
          <w:szCs w:val="24"/>
          <w:lang w:val="de-DE" w:eastAsia="zh-CN"/>
        </w:rPr>
        <w:t xml:space="preserve">          </w:t>
      </w:r>
      <w:r w:rsidR="000C118E">
        <w:rPr>
          <w:rFonts w:eastAsia="SimSun"/>
          <w:i/>
          <w:noProof w:val="0"/>
          <w:sz w:val="24"/>
          <w:szCs w:val="24"/>
          <w:lang w:val="de-DE" w:eastAsia="zh-CN"/>
        </w:rPr>
        <w:t xml:space="preserve"> </w:t>
      </w:r>
      <w:r w:rsidRPr="00094D7E">
        <w:rPr>
          <w:rFonts w:eastAsia="SimSun"/>
          <w:noProof w:val="0"/>
          <w:sz w:val="24"/>
          <w:szCs w:val="24"/>
          <w:lang w:val="de-DE" w:eastAsia="zh-CN"/>
        </w:rPr>
        <w:t>R1-1</w:t>
      </w:r>
      <w:r w:rsidR="000C118E" w:rsidRPr="00094D7E">
        <w:rPr>
          <w:rFonts w:eastAsia="SimSun"/>
          <w:noProof w:val="0"/>
          <w:sz w:val="24"/>
          <w:szCs w:val="24"/>
          <w:lang w:val="de-DE" w:eastAsia="zh-CN"/>
        </w:rPr>
        <w:t>9</w:t>
      </w:r>
      <w:r w:rsidR="001458AC" w:rsidRPr="00094D7E">
        <w:rPr>
          <w:rFonts w:eastAsia="SimSun"/>
          <w:noProof w:val="0"/>
          <w:sz w:val="24"/>
          <w:szCs w:val="24"/>
          <w:lang w:val="de-DE" w:eastAsia="zh-CN"/>
        </w:rPr>
        <w:t>02228</w:t>
      </w:r>
    </w:p>
    <w:p w14:paraId="75B68434" w14:textId="7952E291" w:rsidR="008F19D4" w:rsidRDefault="004A3294" w:rsidP="00AF62D5">
      <w:pPr>
        <w:pStyle w:val="a4"/>
        <w:spacing w:after="240"/>
        <w:rPr>
          <w:rFonts w:eastAsia="SimSun" w:cs="Arial"/>
          <w:bCs/>
          <w:sz w:val="24"/>
          <w:szCs w:val="24"/>
          <w:lang w:eastAsia="zh-CN"/>
        </w:rPr>
      </w:pPr>
      <w:r w:rsidRPr="004A3294">
        <w:rPr>
          <w:rFonts w:eastAsia="SimSun" w:cs="Arial"/>
          <w:bCs/>
          <w:sz w:val="24"/>
          <w:szCs w:val="24"/>
          <w:lang w:eastAsia="zh-CN"/>
        </w:rPr>
        <w:t>Athens, Greece, 25th February – 1st March</w:t>
      </w:r>
      <w:r w:rsidR="00AF6EE4">
        <w:rPr>
          <w:rFonts w:eastAsia="SimSun" w:cs="Arial"/>
          <w:bCs/>
          <w:sz w:val="24"/>
          <w:szCs w:val="24"/>
          <w:lang w:eastAsia="zh-CN"/>
        </w:rPr>
        <w:t>,</w:t>
      </w:r>
      <w:r w:rsidR="008F19D4" w:rsidRPr="00967255">
        <w:rPr>
          <w:rFonts w:eastAsia="SimSun" w:cs="Arial"/>
          <w:bCs/>
          <w:sz w:val="24"/>
          <w:szCs w:val="24"/>
          <w:lang w:eastAsia="zh-CN"/>
        </w:rPr>
        <w:t xml:space="preserve"> 201</w:t>
      </w:r>
      <w:r w:rsidR="00AF6EE4">
        <w:rPr>
          <w:rFonts w:eastAsia="SimSun" w:cs="Arial"/>
          <w:bCs/>
          <w:sz w:val="24"/>
          <w:szCs w:val="24"/>
          <w:lang w:eastAsia="zh-CN"/>
        </w:rPr>
        <w:t>9</w:t>
      </w:r>
    </w:p>
    <w:p w14:paraId="75FAB520" w14:textId="5774CEA3" w:rsidR="008F19D4" w:rsidRPr="00AD1F88" w:rsidRDefault="008F19D4" w:rsidP="00AF62D5">
      <w:pPr>
        <w:tabs>
          <w:tab w:val="left" w:pos="1985"/>
        </w:tabs>
        <w:spacing w:after="120"/>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Pr="00AD1F88">
        <w:rPr>
          <w:rFonts w:ascii="Arial" w:hAnsi="Arial"/>
          <w:sz w:val="24"/>
        </w:rPr>
        <w:t>7.</w:t>
      </w:r>
      <w:r w:rsidR="004A03C6">
        <w:rPr>
          <w:rFonts w:ascii="Arial" w:hAnsi="Arial"/>
          <w:sz w:val="24"/>
        </w:rPr>
        <w:t>1</w:t>
      </w:r>
      <w:r w:rsidRPr="00AD1F88">
        <w:rPr>
          <w:rFonts w:ascii="Arial" w:hAnsi="Arial"/>
          <w:sz w:val="24"/>
        </w:rPr>
        <w:t>.</w:t>
      </w:r>
      <w:r w:rsidR="004A03C6">
        <w:rPr>
          <w:rFonts w:ascii="Arial" w:hAnsi="Arial"/>
          <w:sz w:val="24"/>
        </w:rPr>
        <w:t>3</w:t>
      </w:r>
    </w:p>
    <w:p w14:paraId="2E037EBE" w14:textId="77777777" w:rsidR="008F19D4" w:rsidRPr="009630A2" w:rsidRDefault="008F19D4" w:rsidP="00AF62D5">
      <w:pPr>
        <w:tabs>
          <w:tab w:val="left" w:pos="1985"/>
        </w:tabs>
        <w:spacing w:after="120"/>
        <w:rPr>
          <w:rFonts w:ascii="Arial" w:hAnsi="Arial"/>
          <w:sz w:val="24"/>
        </w:rPr>
      </w:pPr>
      <w:r w:rsidRPr="00ED7F44">
        <w:rPr>
          <w:rFonts w:ascii="Arial" w:hAnsi="Arial"/>
          <w:b/>
          <w:sz w:val="24"/>
        </w:rPr>
        <w:t xml:space="preserve">Source: </w:t>
      </w:r>
      <w:r w:rsidRPr="00ED7F44">
        <w:rPr>
          <w:rFonts w:ascii="Arial" w:hAnsi="Arial"/>
          <w:b/>
          <w:sz w:val="24"/>
        </w:rPr>
        <w:tab/>
      </w:r>
      <w:r w:rsidRPr="009630A2">
        <w:rPr>
          <w:rFonts w:ascii="Arial" w:hAnsi="Arial"/>
          <w:sz w:val="24"/>
        </w:rPr>
        <w:t xml:space="preserve">Samsung </w:t>
      </w:r>
    </w:p>
    <w:p w14:paraId="57220B13" w14:textId="33B14CF3" w:rsidR="008F19D4" w:rsidRPr="006174ED" w:rsidRDefault="008F19D4" w:rsidP="00B510D7">
      <w:pPr>
        <w:spacing w:after="120"/>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4A03C6" w:rsidRPr="004A03C6">
        <w:rPr>
          <w:rFonts w:ascii="Arial" w:hAnsi="Arial"/>
          <w:sz w:val="24"/>
          <w:szCs w:val="24"/>
        </w:rPr>
        <w:t xml:space="preserve">Discussion on scheduling restriction and calculation of TBS_LBRM and max data rate </w:t>
      </w:r>
      <w:bookmarkStart w:id="3" w:name="_GoBack"/>
      <w:bookmarkEnd w:id="3"/>
    </w:p>
    <w:p w14:paraId="500FBFC1" w14:textId="77777777" w:rsidR="008F19D4" w:rsidRPr="004D1C02" w:rsidRDefault="008F19D4" w:rsidP="00AF62D5">
      <w:pPr>
        <w:pBdr>
          <w:bottom w:val="single" w:sz="12" w:space="1" w:color="auto"/>
        </w:pBdr>
        <w:tabs>
          <w:tab w:val="left" w:pos="1985"/>
        </w:tabs>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3169C">
      <w:pPr>
        <w:pStyle w:val="1"/>
        <w:spacing w:after="60" w:line="360" w:lineRule="auto"/>
        <w:rPr>
          <w:lang w:val="en-US" w:eastAsia="ko-KR"/>
        </w:rPr>
      </w:pPr>
      <w:r w:rsidRPr="004879E0">
        <w:rPr>
          <w:lang w:val="en-US" w:eastAsia="ko-KR"/>
        </w:rPr>
        <w:t>Introduction</w:t>
      </w:r>
    </w:p>
    <w:p w14:paraId="1B2099FB" w14:textId="61C8B150" w:rsidR="009A6C72" w:rsidRDefault="00E44AA8" w:rsidP="0023169C">
      <w:pPr>
        <w:pStyle w:val="Style1"/>
        <w:spacing w:after="120" w:line="360" w:lineRule="auto"/>
        <w:rPr>
          <w:rFonts w:eastAsiaTheme="minorEastAsia"/>
          <w:lang w:eastAsia="ko-KR"/>
        </w:rPr>
      </w:pPr>
      <w:r>
        <w:rPr>
          <w:rFonts w:eastAsiaTheme="minorEastAsia" w:hint="eastAsia"/>
          <w:lang w:eastAsia="ko-KR"/>
        </w:rPr>
        <w:t xml:space="preserve">In this </w:t>
      </w:r>
      <w:r w:rsidR="009A6C72">
        <w:rPr>
          <w:rFonts w:eastAsiaTheme="minorEastAsia"/>
          <w:lang w:eastAsia="ko-KR"/>
        </w:rPr>
        <w:t>contribution, the following issues in the specifications are discussed.</w:t>
      </w:r>
    </w:p>
    <w:p w14:paraId="413F8BE9" w14:textId="09505CDF" w:rsidR="009A6C72" w:rsidRDefault="009A6C72" w:rsidP="009A6C72">
      <w:pPr>
        <w:pStyle w:val="Style1"/>
        <w:numPr>
          <w:ilvl w:val="0"/>
          <w:numId w:val="45"/>
        </w:numPr>
        <w:spacing w:after="120" w:line="360" w:lineRule="auto"/>
        <w:rPr>
          <w:rFonts w:eastAsiaTheme="minorEastAsia"/>
          <w:lang w:eastAsia="ko-KR"/>
        </w:rPr>
      </w:pPr>
      <w:r>
        <w:rPr>
          <w:rFonts w:eastAsiaTheme="minorEastAsia"/>
          <w:lang w:eastAsia="ko-KR"/>
        </w:rPr>
        <w:t xml:space="preserve">TS38.214: Scheduling restriction by max data rate </w:t>
      </w:r>
    </w:p>
    <w:p w14:paraId="6B078610" w14:textId="74540AB8" w:rsidR="009A6C72" w:rsidRDefault="009A6C72" w:rsidP="009A6C72">
      <w:pPr>
        <w:pStyle w:val="Style1"/>
        <w:numPr>
          <w:ilvl w:val="0"/>
          <w:numId w:val="45"/>
        </w:numPr>
        <w:spacing w:after="120" w:line="360" w:lineRule="auto"/>
        <w:rPr>
          <w:rFonts w:eastAsiaTheme="minorEastAsia"/>
          <w:lang w:eastAsia="ko-KR"/>
        </w:rPr>
      </w:pPr>
      <w:r>
        <w:rPr>
          <w:rFonts w:eastAsiaTheme="minorEastAsia"/>
          <w:lang w:eastAsia="ko-KR"/>
        </w:rPr>
        <w:t>TS38.212: Calculation of TBS</w:t>
      </w:r>
      <w:r w:rsidRPr="00954BEB">
        <w:rPr>
          <w:rFonts w:eastAsiaTheme="minorEastAsia"/>
          <w:vertAlign w:val="subscript"/>
          <w:lang w:eastAsia="ko-KR"/>
        </w:rPr>
        <w:t>LBRM</w:t>
      </w:r>
    </w:p>
    <w:p w14:paraId="572C2469" w14:textId="71A9D318" w:rsidR="009A6C72" w:rsidRPr="009A6C72" w:rsidRDefault="009A6C72" w:rsidP="009A6C72">
      <w:pPr>
        <w:pStyle w:val="Style1"/>
        <w:numPr>
          <w:ilvl w:val="0"/>
          <w:numId w:val="45"/>
        </w:numPr>
        <w:spacing w:after="120" w:line="360" w:lineRule="auto"/>
        <w:rPr>
          <w:rFonts w:eastAsiaTheme="minorEastAsia"/>
          <w:lang w:eastAsia="ko-KR"/>
        </w:rPr>
      </w:pPr>
      <w:r>
        <w:rPr>
          <w:rFonts w:eastAsiaTheme="minorEastAsia"/>
          <w:lang w:eastAsia="ko-KR"/>
        </w:rPr>
        <w:t>TS38.306: Calculation of max data rate</w:t>
      </w:r>
    </w:p>
    <w:p w14:paraId="7E7BFB2B" w14:textId="026F7D44" w:rsidR="008F19D4" w:rsidRPr="00304720" w:rsidRDefault="008F19D4" w:rsidP="0023169C">
      <w:pPr>
        <w:pStyle w:val="Style1"/>
        <w:spacing w:after="120" w:line="360" w:lineRule="auto"/>
        <w:rPr>
          <w:lang w:eastAsia="ko-KR"/>
        </w:rPr>
      </w:pPr>
      <w:r w:rsidRPr="00304720">
        <w:rPr>
          <w:rFonts w:hint="eastAsia"/>
        </w:rPr>
        <w:t xml:space="preserve"> </w:t>
      </w:r>
    </w:p>
    <w:p w14:paraId="755F99DA" w14:textId="64433570" w:rsidR="008F19D4" w:rsidRPr="009B4FCF" w:rsidRDefault="009A6C72" w:rsidP="0023169C">
      <w:pPr>
        <w:pStyle w:val="1"/>
        <w:spacing w:line="360" w:lineRule="auto"/>
        <w:rPr>
          <w:rFonts w:eastAsia="SimSun"/>
          <w:lang w:eastAsia="zh-CN"/>
        </w:rPr>
      </w:pPr>
      <w:r>
        <w:rPr>
          <w:rFonts w:eastAsia="SimSun"/>
          <w:lang w:eastAsia="zh-CN"/>
        </w:rPr>
        <w:t>Scheduling restriction by max data rate</w:t>
      </w:r>
    </w:p>
    <w:p w14:paraId="5D510E75" w14:textId="23D77361" w:rsidR="00C86053" w:rsidRDefault="00C86053" w:rsidP="0023169C">
      <w:pPr>
        <w:pStyle w:val="Style1"/>
        <w:spacing w:after="120" w:line="360" w:lineRule="auto"/>
        <w:rPr>
          <w:lang w:val="en-GB"/>
        </w:rPr>
      </w:pPr>
      <w:r>
        <w:rPr>
          <w:lang w:val="en-GB"/>
        </w:rPr>
        <w:t>In Section 5.1.3 (for DL) and 6.1.4 (for UL) of TS38.214 V15.4.0, there are two scheduling r</w:t>
      </w:r>
      <w:r w:rsidR="007458BD">
        <w:rPr>
          <w:lang w:val="en-GB"/>
        </w:rPr>
        <w:t xml:space="preserve">estrictions by UE max data rate as </w:t>
      </w:r>
      <w:r w:rsidR="007458BD">
        <w:rPr>
          <w:lang w:val="en-GB"/>
        </w:rPr>
        <w:fldChar w:fldCharType="begin"/>
      </w:r>
      <w:r w:rsidR="007458BD">
        <w:rPr>
          <w:lang w:val="en-GB"/>
        </w:rPr>
        <w:instrText xml:space="preserve"> REF _Ref933012 \h </w:instrText>
      </w:r>
      <w:r w:rsidR="007458BD">
        <w:rPr>
          <w:lang w:val="en-GB"/>
        </w:rPr>
      </w:r>
      <w:r w:rsidR="007458BD">
        <w:rPr>
          <w:lang w:val="en-GB"/>
        </w:rPr>
        <w:fldChar w:fldCharType="separate"/>
      </w:r>
      <w:r w:rsidR="006572FD">
        <w:t xml:space="preserve">Table </w:t>
      </w:r>
      <w:r w:rsidR="006572FD">
        <w:rPr>
          <w:noProof/>
        </w:rPr>
        <w:t>1</w:t>
      </w:r>
      <w:r w:rsidR="007458BD">
        <w:rPr>
          <w:lang w:val="en-GB"/>
        </w:rPr>
        <w:fldChar w:fldCharType="end"/>
      </w:r>
      <w:r w:rsidR="007458BD">
        <w:rPr>
          <w:lang w:val="en-GB"/>
        </w:rPr>
        <w:t>.</w:t>
      </w:r>
    </w:p>
    <w:p w14:paraId="1102F6C2" w14:textId="213919C7" w:rsidR="007458BD" w:rsidRDefault="007458BD" w:rsidP="007458BD">
      <w:pPr>
        <w:pStyle w:val="ac"/>
        <w:keepNext/>
      </w:pPr>
      <w:bookmarkStart w:id="4" w:name="_Ref933012"/>
      <w:r>
        <w:t xml:space="preserve">Table </w:t>
      </w:r>
      <w:r>
        <w:fldChar w:fldCharType="begin"/>
      </w:r>
      <w:r>
        <w:instrText xml:space="preserve"> SEQ Table \* ARABIC </w:instrText>
      </w:r>
      <w:r>
        <w:fldChar w:fldCharType="separate"/>
      </w:r>
      <w:r w:rsidR="006572FD">
        <w:rPr>
          <w:noProof/>
        </w:rPr>
        <w:t>1</w:t>
      </w:r>
      <w:r>
        <w:fldChar w:fldCharType="end"/>
      </w:r>
      <w:bookmarkEnd w:id="4"/>
      <w:r>
        <w:t>. Scheduling restrictions in Section 5.1.3 of TS38.214, V15.4.0</w:t>
      </w:r>
    </w:p>
    <w:tbl>
      <w:tblPr>
        <w:tblStyle w:val="aff"/>
        <w:tblW w:w="0" w:type="auto"/>
        <w:tblLook w:val="04A0" w:firstRow="1" w:lastRow="0" w:firstColumn="1" w:lastColumn="0" w:noHBand="0" w:noVBand="1"/>
      </w:tblPr>
      <w:tblGrid>
        <w:gridCol w:w="4919"/>
        <w:gridCol w:w="4920"/>
      </w:tblGrid>
      <w:tr w:rsidR="00C86053" w14:paraId="12385E6D" w14:textId="77777777" w:rsidTr="007458BD">
        <w:tc>
          <w:tcPr>
            <w:tcW w:w="4919" w:type="dxa"/>
            <w:tcBorders>
              <w:bottom w:val="single" w:sz="4" w:space="0" w:color="auto"/>
            </w:tcBorders>
          </w:tcPr>
          <w:p w14:paraId="28070FB6" w14:textId="77777777" w:rsidR="00C86053" w:rsidRPr="00C86053" w:rsidRDefault="00C86053" w:rsidP="00C86053">
            <w:pPr>
              <w:spacing w:after="0"/>
              <w:rPr>
                <w:rFonts w:eastAsia="맑은 고딕"/>
                <w:color w:val="000000"/>
                <w:sz w:val="18"/>
                <w:lang w:val="en-GB"/>
              </w:rPr>
            </w:pPr>
            <w:r w:rsidRPr="00C86053">
              <w:rPr>
                <w:rFonts w:eastAsia="맑은 고딕"/>
                <w:color w:val="000000"/>
                <w:sz w:val="18"/>
                <w:lang w:val="en-GB" w:eastAsia="ko-KR"/>
              </w:rPr>
              <w:t>Within a cell group, a</w:t>
            </w:r>
            <w:r w:rsidRPr="00C86053">
              <w:rPr>
                <w:rFonts w:eastAsia="맑은 고딕"/>
                <w:color w:val="000000"/>
                <w:sz w:val="18"/>
                <w:lang w:val="en-GB"/>
              </w:rPr>
              <w:t xml:space="preserve"> UE is not required to handle PDSCH(s) transmissions in slot </w:t>
            </w:r>
            <w:r w:rsidRPr="00C86053">
              <w:rPr>
                <w:rFonts w:eastAsia="맑은 고딕"/>
                <w:i/>
                <w:color w:val="000000"/>
                <w:sz w:val="18"/>
                <w:lang w:val="en-GB"/>
              </w:rPr>
              <w:t>s</w:t>
            </w:r>
            <w:r w:rsidRPr="00C86053">
              <w:rPr>
                <w:rFonts w:eastAsia="맑은 고딕"/>
                <w:i/>
                <w:color w:val="000000"/>
                <w:sz w:val="18"/>
                <w:vertAlign w:val="subscript"/>
                <w:lang w:val="en-GB"/>
              </w:rPr>
              <w:t>j</w:t>
            </w:r>
            <w:r w:rsidRPr="00C86053">
              <w:rPr>
                <w:rFonts w:eastAsia="맑은 고딕"/>
                <w:color w:val="000000"/>
                <w:sz w:val="18"/>
                <w:lang w:val="en-GB"/>
              </w:rPr>
              <w:t xml:space="preserve"> in serving cell-</w:t>
            </w:r>
            <w:r w:rsidRPr="00C86053">
              <w:rPr>
                <w:rFonts w:eastAsia="맑은 고딕"/>
                <w:i/>
                <w:color w:val="000000"/>
                <w:sz w:val="18"/>
                <w:lang w:val="en-GB"/>
              </w:rPr>
              <w:t>j</w:t>
            </w:r>
            <w:r w:rsidRPr="00C86053">
              <w:rPr>
                <w:rFonts w:eastAsia="맑은 고딕"/>
                <w:color w:val="000000"/>
                <w:sz w:val="18"/>
                <w:lang w:val="en-GB"/>
              </w:rPr>
              <w:t xml:space="preserve">, and for </w:t>
            </w:r>
            <w:r w:rsidRPr="00C86053">
              <w:rPr>
                <w:rFonts w:eastAsia="맑은 고딕"/>
                <w:i/>
                <w:color w:val="000000"/>
                <w:sz w:val="18"/>
                <w:lang w:val="en-GB"/>
              </w:rPr>
              <w:t>j</w:t>
            </w:r>
            <w:r w:rsidRPr="00C86053">
              <w:rPr>
                <w:rFonts w:eastAsia="맑은 고딕"/>
                <w:color w:val="000000"/>
                <w:sz w:val="18"/>
                <w:lang w:val="en-GB"/>
              </w:rPr>
              <w:t xml:space="preserve"> = 0,1,2.. </w:t>
            </w:r>
            <w:r w:rsidRPr="00C86053">
              <w:rPr>
                <w:rFonts w:eastAsia="맑은 고딕"/>
                <w:i/>
                <w:color w:val="000000"/>
                <w:sz w:val="18"/>
                <w:lang w:val="en-GB"/>
              </w:rPr>
              <w:t>J-1</w:t>
            </w:r>
            <w:r w:rsidRPr="00C86053">
              <w:rPr>
                <w:rFonts w:eastAsia="맑은 고딕"/>
                <w:color w:val="000000"/>
                <w:sz w:val="18"/>
                <w:lang w:val="en-GB"/>
              </w:rPr>
              <w:t xml:space="preserve">, slot </w:t>
            </w:r>
            <w:r w:rsidRPr="00C86053">
              <w:rPr>
                <w:rFonts w:eastAsia="맑은 고딕"/>
                <w:i/>
                <w:color w:val="000000"/>
                <w:sz w:val="18"/>
                <w:lang w:val="en-GB"/>
              </w:rPr>
              <w:t>s</w:t>
            </w:r>
            <w:r w:rsidRPr="00C86053">
              <w:rPr>
                <w:rFonts w:eastAsia="맑은 고딕"/>
                <w:i/>
                <w:color w:val="000000"/>
                <w:sz w:val="18"/>
                <w:vertAlign w:val="subscript"/>
                <w:lang w:val="en-GB"/>
              </w:rPr>
              <w:t>j</w:t>
            </w:r>
            <w:r w:rsidRPr="00C86053">
              <w:rPr>
                <w:rFonts w:eastAsia="맑은 고딕"/>
                <w:color w:val="000000"/>
                <w:sz w:val="18"/>
                <w:lang w:val="en-GB"/>
              </w:rPr>
              <w:t xml:space="preserve"> overlapping </w:t>
            </w:r>
            <w:r w:rsidRPr="00C86053">
              <w:rPr>
                <w:rFonts w:eastAsia="맑은 고딕"/>
                <w:color w:val="000000"/>
                <w:sz w:val="18"/>
                <w:lang w:val="en-GB" w:eastAsia="ko-KR"/>
              </w:rPr>
              <w:t xml:space="preserve">with </w:t>
            </w:r>
            <w:r w:rsidRPr="00C86053">
              <w:rPr>
                <w:rFonts w:eastAsia="맑은 고딕"/>
                <w:color w:val="000000"/>
                <w:sz w:val="18"/>
                <w:lang w:val="en-GB"/>
              </w:rPr>
              <w:t xml:space="preserve">any given point in time, if the following condition is not satisfied at that point in time: </w:t>
            </w:r>
          </w:p>
          <w:p w14:paraId="31F29415" w14:textId="77777777" w:rsidR="00C86053" w:rsidRPr="00C86053" w:rsidRDefault="001B5B35" w:rsidP="00C86053">
            <w:pPr>
              <w:keepLines/>
              <w:tabs>
                <w:tab w:val="center" w:pos="4536"/>
                <w:tab w:val="right" w:pos="9072"/>
              </w:tabs>
              <w:spacing w:after="0"/>
              <w:rPr>
                <w:rFonts w:eastAsia="맑은 고딕"/>
                <w:noProof/>
                <w:sz w:val="18"/>
                <w:lang w:val="sv-SE" w:eastAsia="ko-KR"/>
              </w:rPr>
            </w:pPr>
            <m:oMathPara>
              <m:oMath>
                <m:nary>
                  <m:naryPr>
                    <m:chr m:val="∑"/>
                    <m:limLoc m:val="undOvr"/>
                    <m:ctrlPr>
                      <w:rPr>
                        <w:rFonts w:ascii="Cambria Math" w:eastAsia="맑은 고딕" w:hAnsi="Cambria Math"/>
                        <w:iCs/>
                        <w:noProof/>
                        <w:sz w:val="18"/>
                        <w:lang w:val="en-GB"/>
                      </w:rPr>
                    </m:ctrlPr>
                  </m:naryPr>
                  <m:sub>
                    <m:r>
                      <w:rPr>
                        <w:rFonts w:ascii="Cambria Math" w:eastAsia="맑은 고딕" w:hAnsi="Cambria Math"/>
                        <w:noProof/>
                        <w:sz w:val="18"/>
                        <w:lang w:val="en-GB"/>
                      </w:rPr>
                      <m:t>j</m:t>
                    </m:r>
                    <m:r>
                      <m:rPr>
                        <m:sty m:val="p"/>
                      </m:rPr>
                      <w:rPr>
                        <w:rFonts w:ascii="Cambria Math" w:eastAsia="맑은 고딕" w:hAnsi="Cambria Math"/>
                        <w:noProof/>
                        <w:sz w:val="18"/>
                        <w:lang w:val="en-GB"/>
                      </w:rPr>
                      <m:t>=0</m:t>
                    </m:r>
                  </m:sub>
                  <m:sup>
                    <m:r>
                      <w:rPr>
                        <w:rFonts w:ascii="Cambria Math" w:eastAsia="맑은 고딕" w:hAnsi="Cambria Math"/>
                        <w:noProof/>
                        <w:sz w:val="18"/>
                        <w:lang w:val="en-GB"/>
                      </w:rPr>
                      <m:t>J</m:t>
                    </m:r>
                    <m:r>
                      <m:rPr>
                        <m:sty m:val="p"/>
                      </m:rPr>
                      <w:rPr>
                        <w:rFonts w:ascii="Cambria Math" w:eastAsia="맑은 고딕" w:hAnsi="Cambria Math"/>
                        <w:noProof/>
                        <w:sz w:val="18"/>
                        <w:lang w:val="en-GB"/>
                      </w:rPr>
                      <m:t>-1</m:t>
                    </m:r>
                  </m:sup>
                  <m:e>
                    <m:f>
                      <m:fPr>
                        <m:ctrlPr>
                          <w:rPr>
                            <w:rFonts w:ascii="Cambria Math" w:eastAsia="맑은 고딕" w:hAnsi="Cambria Math"/>
                            <w:noProof/>
                            <w:sz w:val="18"/>
                            <w:lang w:val="en-GB" w:eastAsia="ko-KR"/>
                          </w:rPr>
                        </m:ctrlPr>
                      </m:fPr>
                      <m:num>
                        <m:nary>
                          <m:naryPr>
                            <m:chr m:val="∑"/>
                            <m:limLoc m:val="subSup"/>
                            <m:ctrlPr>
                              <w:rPr>
                                <w:rFonts w:ascii="Cambria Math" w:eastAsia="맑은 고딕" w:hAnsi="Cambria Math"/>
                                <w:noProof/>
                                <w:sz w:val="18"/>
                                <w:lang w:val="en-GB" w:eastAsia="ko-KR"/>
                              </w:rPr>
                            </m:ctrlPr>
                          </m:naryPr>
                          <m:sub>
                            <m:r>
                              <w:rPr>
                                <w:rFonts w:ascii="Cambria Math" w:eastAsia="맑은 고딕" w:hAnsi="Cambria Math"/>
                                <w:noProof/>
                                <w:sz w:val="18"/>
                                <w:lang w:val="en-GB" w:eastAsia="ko-KR"/>
                              </w:rPr>
                              <m:t>m</m:t>
                            </m:r>
                            <m:r>
                              <m:rPr>
                                <m:sty m:val="p"/>
                              </m:rPr>
                              <w:rPr>
                                <w:rFonts w:ascii="Cambria Math" w:eastAsia="맑은 고딕" w:hAnsi="Cambria Math"/>
                                <w:noProof/>
                                <w:sz w:val="18"/>
                                <w:lang w:val="en-GB" w:eastAsia="ko-KR"/>
                              </w:rPr>
                              <m:t>=0</m:t>
                            </m:r>
                          </m:sub>
                          <m:sup>
                            <m:r>
                              <w:rPr>
                                <w:rFonts w:ascii="Cambria Math" w:eastAsia="맑은 고딕" w:hAnsi="Cambria Math"/>
                                <w:noProof/>
                                <w:sz w:val="18"/>
                                <w:lang w:val="en-GB" w:eastAsia="ko-KR"/>
                              </w:rPr>
                              <m:t>M</m:t>
                            </m:r>
                            <m:r>
                              <m:rPr>
                                <m:sty m:val="p"/>
                              </m:rPr>
                              <w:rPr>
                                <w:rFonts w:ascii="Cambria Math" w:eastAsia="맑은 고딕" w:hAnsi="Cambria Math"/>
                                <w:noProof/>
                                <w:sz w:val="18"/>
                                <w:lang w:val="en-GB" w:eastAsia="ko-KR"/>
                              </w:rPr>
                              <m:t>-1</m:t>
                            </m:r>
                          </m:sup>
                          <m:e>
                            <m:sSub>
                              <m:sSubPr>
                                <m:ctrlPr>
                                  <w:rPr>
                                    <w:rFonts w:ascii="Cambria Math" w:eastAsia="맑은 고딕" w:hAnsi="Cambria Math"/>
                                    <w:noProof/>
                                    <w:sz w:val="18"/>
                                    <w:lang w:val="en-GB" w:eastAsia="ko-KR"/>
                                  </w:rPr>
                                </m:ctrlPr>
                              </m:sSubPr>
                              <m:e>
                                <m:r>
                                  <w:rPr>
                                    <w:rFonts w:ascii="Cambria Math" w:eastAsia="맑은 고딕" w:hAnsi="Cambria Math"/>
                                    <w:noProof/>
                                    <w:sz w:val="18"/>
                                    <w:lang w:val="en-GB" w:eastAsia="ko-KR"/>
                                  </w:rPr>
                                  <m:t>V</m:t>
                                </m:r>
                              </m:e>
                              <m:sub>
                                <m:r>
                                  <w:rPr>
                                    <w:rFonts w:ascii="Cambria Math" w:eastAsia="맑은 고딕" w:hAnsi="Cambria Math"/>
                                    <w:noProof/>
                                    <w:sz w:val="18"/>
                                    <w:lang w:val="en-GB" w:eastAsia="ko-KR"/>
                                  </w:rPr>
                                  <m:t>j</m:t>
                                </m:r>
                                <m:r>
                                  <m:rPr>
                                    <m:sty m:val="p"/>
                                  </m:rPr>
                                  <w:rPr>
                                    <w:rFonts w:ascii="Cambria Math" w:eastAsia="맑은 고딕" w:hAnsi="Cambria Math"/>
                                    <w:noProof/>
                                    <w:sz w:val="18"/>
                                    <w:lang w:val="en-GB" w:eastAsia="ko-KR"/>
                                  </w:rPr>
                                  <m:t>,</m:t>
                                </m:r>
                                <m:r>
                                  <w:rPr>
                                    <w:rFonts w:ascii="Cambria Math" w:eastAsia="맑은 고딕" w:hAnsi="Cambria Math"/>
                                    <w:noProof/>
                                    <w:sz w:val="18"/>
                                    <w:lang w:val="en-GB" w:eastAsia="ko-KR"/>
                                  </w:rPr>
                                  <m:t>m</m:t>
                                </m:r>
                              </m:sub>
                            </m:sSub>
                          </m:e>
                        </m:nary>
                      </m:num>
                      <m:den>
                        <m:sSubSup>
                          <m:sSubSupPr>
                            <m:ctrlPr>
                              <w:rPr>
                                <w:rFonts w:ascii="Cambria Math" w:eastAsia="맑은 고딕" w:hAnsi="Cambria Math"/>
                                <w:noProof/>
                                <w:sz w:val="18"/>
                                <w:lang w:val="en-GB" w:eastAsia="ko-KR"/>
                              </w:rPr>
                            </m:ctrlPr>
                          </m:sSubSupPr>
                          <m:e>
                            <m:r>
                              <w:rPr>
                                <w:rFonts w:ascii="Cambria Math" w:eastAsia="맑은 고딕" w:hAnsi="Cambria Math"/>
                                <w:noProof/>
                                <w:sz w:val="18"/>
                                <w:lang w:val="en-GB" w:eastAsia="ko-KR"/>
                              </w:rPr>
                              <m:t>T</m:t>
                            </m:r>
                          </m:e>
                          <m:sub>
                            <m:r>
                              <w:rPr>
                                <w:rFonts w:ascii="Cambria Math" w:eastAsia="맑은 고딕" w:hAnsi="Cambria Math"/>
                                <w:noProof/>
                                <w:sz w:val="18"/>
                                <w:lang w:val="en-GB" w:eastAsia="ko-KR"/>
                              </w:rPr>
                              <m:t>slot</m:t>
                            </m:r>
                          </m:sub>
                          <m:sup>
                            <m:r>
                              <w:rPr>
                                <w:rFonts w:ascii="Cambria Math" w:eastAsia="맑은 고딕" w:hAnsi="Cambria Math"/>
                                <w:noProof/>
                                <w:sz w:val="18"/>
                                <w:lang w:val="en-GB" w:eastAsia="ko-KR"/>
                              </w:rPr>
                              <m:t>μ</m:t>
                            </m:r>
                            <m:r>
                              <m:rPr>
                                <m:sty m:val="p"/>
                              </m:rPr>
                              <w:rPr>
                                <w:rFonts w:ascii="Cambria Math" w:eastAsia="맑은 고딕" w:hAnsi="Cambria Math"/>
                                <w:noProof/>
                                <w:sz w:val="18"/>
                                <w:lang w:val="en-GB" w:eastAsia="ko-KR"/>
                              </w:rPr>
                              <m:t>(</m:t>
                            </m:r>
                            <m:r>
                              <w:rPr>
                                <w:rFonts w:ascii="Cambria Math" w:eastAsia="맑은 고딕" w:hAnsi="Cambria Math"/>
                                <w:noProof/>
                                <w:sz w:val="18"/>
                                <w:lang w:val="en-GB" w:eastAsia="ko-KR"/>
                              </w:rPr>
                              <m:t>j</m:t>
                            </m:r>
                            <m:r>
                              <m:rPr>
                                <m:sty m:val="p"/>
                              </m:rPr>
                              <w:rPr>
                                <w:rFonts w:ascii="Cambria Math" w:eastAsia="맑은 고딕" w:hAnsi="Cambria Math"/>
                                <w:noProof/>
                                <w:sz w:val="18"/>
                                <w:lang w:val="en-GB" w:eastAsia="ko-KR"/>
                              </w:rPr>
                              <m:t>)</m:t>
                            </m:r>
                          </m:sup>
                        </m:sSubSup>
                      </m:den>
                    </m:f>
                  </m:e>
                </m:nary>
                <m:r>
                  <m:rPr>
                    <m:sty m:val="p"/>
                  </m:rPr>
                  <w:rPr>
                    <w:rFonts w:ascii="Cambria Math" w:eastAsia="맑은 고딕" w:hAnsi="Cambria Math"/>
                    <w:noProof/>
                    <w:sz w:val="18"/>
                    <w:lang w:val="en-GB"/>
                  </w:rPr>
                  <m:t>≤</m:t>
                </m:r>
                <m:r>
                  <w:rPr>
                    <w:rFonts w:ascii="Cambria Math" w:eastAsia="맑은 고딕" w:hAnsi="Cambria Math"/>
                    <w:noProof/>
                    <w:sz w:val="18"/>
                    <w:lang w:val="en-GB"/>
                  </w:rPr>
                  <m:t>DataRate</m:t>
                </m:r>
              </m:oMath>
            </m:oMathPara>
          </w:p>
          <w:p w14:paraId="4227B0BC" w14:textId="77777777" w:rsidR="00C86053" w:rsidRPr="00C86053" w:rsidRDefault="00C86053" w:rsidP="00C86053">
            <w:pPr>
              <w:spacing w:after="0"/>
              <w:rPr>
                <w:rFonts w:eastAsia="맑은 고딕"/>
                <w:sz w:val="18"/>
                <w:lang w:val="sv-SE"/>
              </w:rPr>
            </w:pPr>
            <w:r w:rsidRPr="00C86053">
              <w:rPr>
                <w:rFonts w:eastAsia="맑은 고딕"/>
                <w:sz w:val="18"/>
                <w:lang w:val="en-GB"/>
              </w:rPr>
              <w:t xml:space="preserve">where, </w:t>
            </w:r>
          </w:p>
          <w:p w14:paraId="07B4049A" w14:textId="77777777" w:rsidR="00C86053" w:rsidRPr="00C86053" w:rsidRDefault="00C86053" w:rsidP="00C86053">
            <w:pPr>
              <w:spacing w:after="0"/>
              <w:ind w:left="568" w:hanging="284"/>
              <w:rPr>
                <w:rFonts w:eastAsia="맑은 고딕"/>
                <w:sz w:val="18"/>
                <w:lang w:val="x-none"/>
              </w:rPr>
            </w:pPr>
            <w:r w:rsidRPr="00C86053">
              <w:rPr>
                <w:rFonts w:eastAsia="맑은 고딕"/>
                <w:sz w:val="18"/>
              </w:rPr>
              <w:t>-</w:t>
            </w:r>
            <w:r w:rsidRPr="00C86053">
              <w:rPr>
                <w:rFonts w:eastAsia="맑은 고딕"/>
                <w:sz w:val="18"/>
              </w:rPr>
              <w:tab/>
            </w:r>
            <w:r w:rsidRPr="00C86053">
              <w:rPr>
                <w:rFonts w:eastAsia="맑은 고딕"/>
                <w:i/>
                <w:sz w:val="18"/>
                <w:lang w:val="x-none"/>
              </w:rPr>
              <w:t>J</w:t>
            </w:r>
            <w:r w:rsidRPr="00C86053">
              <w:rPr>
                <w:rFonts w:eastAsia="맑은 고딕"/>
                <w:sz w:val="18"/>
                <w:lang w:val="x-none"/>
              </w:rPr>
              <w:t xml:space="preserve"> is the number of </w:t>
            </w:r>
            <w:r w:rsidRPr="00C86053">
              <w:rPr>
                <w:rFonts w:eastAsia="맑은 고딕"/>
                <w:sz w:val="18"/>
                <w:lang w:val="x-none" w:eastAsia="ko-KR"/>
              </w:rPr>
              <w:t xml:space="preserve">configured </w:t>
            </w:r>
            <w:r w:rsidRPr="00C86053">
              <w:rPr>
                <w:rFonts w:eastAsia="맑은 고딕"/>
                <w:sz w:val="18"/>
                <w:lang w:val="x-none"/>
              </w:rPr>
              <w:t>serving cells belonging to a frequency range</w:t>
            </w:r>
          </w:p>
          <w:p w14:paraId="2021356E" w14:textId="77777777" w:rsidR="00C86053" w:rsidRPr="00C86053" w:rsidRDefault="00C86053" w:rsidP="00C86053">
            <w:pPr>
              <w:spacing w:after="0"/>
              <w:ind w:left="568" w:hanging="284"/>
              <w:rPr>
                <w:rFonts w:eastAsia="맑은 고딕"/>
                <w:sz w:val="18"/>
                <w:lang w:val="x-none"/>
              </w:rPr>
            </w:pPr>
            <w:r w:rsidRPr="00C86053">
              <w:rPr>
                <w:rFonts w:eastAsia="맑은 고딕"/>
                <w:sz w:val="18"/>
                <w:lang w:val="x-none"/>
              </w:rPr>
              <w:t>-</w:t>
            </w:r>
            <w:r w:rsidRPr="00C86053">
              <w:rPr>
                <w:rFonts w:eastAsia="맑은 고딕"/>
                <w:sz w:val="18"/>
                <w:lang w:val="x-none"/>
              </w:rPr>
              <w:tab/>
              <w:t xml:space="preserve">for the </w:t>
            </w:r>
            <w:r w:rsidRPr="00C86053">
              <w:rPr>
                <w:rFonts w:eastAsia="맑은 고딕"/>
                <w:i/>
                <w:sz w:val="18"/>
                <w:lang w:val="x-none"/>
              </w:rPr>
              <w:t>j-th</w:t>
            </w:r>
            <w:r w:rsidRPr="00C86053">
              <w:rPr>
                <w:rFonts w:eastAsia="맑은 고딕"/>
                <w:sz w:val="18"/>
                <w:lang w:val="x-none"/>
              </w:rPr>
              <w:t xml:space="preserve"> serving cell,</w:t>
            </w:r>
          </w:p>
          <w:p w14:paraId="350B7A41" w14:textId="77777777" w:rsidR="00C86053" w:rsidRPr="00C86053" w:rsidRDefault="00C86053" w:rsidP="00C86053">
            <w:pPr>
              <w:spacing w:after="0"/>
              <w:ind w:left="851" w:hanging="284"/>
              <w:rPr>
                <w:rFonts w:eastAsia="맑은 고딕"/>
                <w:sz w:val="18"/>
                <w:lang w:val="x-none"/>
              </w:rPr>
            </w:pPr>
            <w:r w:rsidRPr="00C86053">
              <w:rPr>
                <w:rFonts w:eastAsia="맑은 고딕"/>
                <w:i/>
                <w:sz w:val="18"/>
                <w:lang w:val="x-none" w:eastAsia="ko-KR"/>
              </w:rPr>
              <w:t>-</w:t>
            </w:r>
            <w:r w:rsidRPr="00C86053">
              <w:rPr>
                <w:rFonts w:eastAsia="맑은 고딕"/>
                <w:i/>
                <w:sz w:val="18"/>
                <w:lang w:val="x-none" w:eastAsia="ko-KR"/>
              </w:rPr>
              <w:tab/>
              <w:t>M</w:t>
            </w:r>
            <w:r w:rsidRPr="00C86053">
              <w:rPr>
                <w:rFonts w:eastAsia="맑은 고딕"/>
                <w:sz w:val="18"/>
                <w:lang w:val="x-none" w:eastAsia="ko-KR"/>
              </w:rPr>
              <w:t xml:space="preserve"> is the number of TB(s) transmitted in slot </w:t>
            </w:r>
            <w:r w:rsidRPr="00C86053">
              <w:rPr>
                <w:rFonts w:eastAsia="맑은 고딕"/>
                <w:i/>
                <w:sz w:val="18"/>
                <w:lang w:val="x-none"/>
              </w:rPr>
              <w:t>s</w:t>
            </w:r>
            <w:r w:rsidRPr="00C86053">
              <w:rPr>
                <w:rFonts w:eastAsia="맑은 고딕"/>
                <w:i/>
                <w:sz w:val="18"/>
                <w:vertAlign w:val="subscript"/>
                <w:lang w:val="x-none"/>
              </w:rPr>
              <w:t>j</w:t>
            </w:r>
            <w:r w:rsidRPr="00C86053">
              <w:rPr>
                <w:rFonts w:eastAsia="맑은 고딕" w:hint="eastAsia"/>
                <w:sz w:val="18"/>
                <w:lang w:val="x-none" w:eastAsia="ko-KR"/>
              </w:rPr>
              <w:t>.</w:t>
            </w:r>
          </w:p>
          <w:p w14:paraId="145DD96C" w14:textId="77777777" w:rsidR="00C86053" w:rsidRPr="00C86053" w:rsidRDefault="00C86053" w:rsidP="00C86053">
            <w:pPr>
              <w:spacing w:after="0"/>
              <w:ind w:left="851" w:hanging="284"/>
              <w:rPr>
                <w:rFonts w:eastAsia="맑은 고딕"/>
                <w:sz w:val="18"/>
                <w:lang w:val="x-none"/>
              </w:rPr>
            </w:pPr>
            <w:r w:rsidRPr="00C86053">
              <w:rPr>
                <w:rFonts w:eastAsia="맑은 고딕"/>
                <w:i/>
                <w:sz w:val="18"/>
                <w:lang w:val="x-none"/>
              </w:rPr>
              <w:t>-</w:t>
            </w:r>
            <w:r w:rsidRPr="00C86053">
              <w:rPr>
                <w:rFonts w:eastAsia="맑은 고딕"/>
                <w:i/>
                <w:sz w:val="18"/>
                <w:lang w:val="x-none"/>
              </w:rPr>
              <w:tab/>
              <w:t>T</w:t>
            </w:r>
            <w:r w:rsidRPr="00C86053">
              <w:rPr>
                <w:rFonts w:eastAsia="맑은 고딕"/>
                <w:i/>
                <w:sz w:val="18"/>
                <w:vertAlign w:val="subscript"/>
                <w:lang w:val="x-none"/>
              </w:rPr>
              <w:t>slot</w:t>
            </w:r>
            <w:r w:rsidRPr="00C86053">
              <w:rPr>
                <w:rFonts w:eastAsia="맑은 고딕"/>
                <w:i/>
                <w:sz w:val="18"/>
                <w:vertAlign w:val="superscript"/>
                <w:lang w:val="x-none"/>
              </w:rPr>
              <w:sym w:font="Symbol" w:char="F06D"/>
            </w:r>
            <w:r w:rsidRPr="00C86053">
              <w:rPr>
                <w:rFonts w:eastAsia="맑은 고딕"/>
                <w:i/>
                <w:sz w:val="18"/>
                <w:vertAlign w:val="superscript"/>
                <w:lang w:val="x-none"/>
              </w:rPr>
              <w:t>(j)</w:t>
            </w:r>
            <w:r w:rsidRPr="00C86053">
              <w:rPr>
                <w:rFonts w:eastAsia="맑은 고딕"/>
                <w:sz w:val="18"/>
                <w:lang w:val="x-none"/>
              </w:rPr>
              <w:t xml:space="preserve"> =10</w:t>
            </w:r>
            <w:r w:rsidRPr="00C86053">
              <w:rPr>
                <w:rFonts w:eastAsia="맑은 고딕"/>
                <w:sz w:val="18"/>
                <w:vertAlign w:val="superscript"/>
                <w:lang w:val="x-none"/>
              </w:rPr>
              <w:t>-3</w:t>
            </w:r>
            <w:r w:rsidRPr="00C86053">
              <w:rPr>
                <w:rFonts w:eastAsia="맑은 고딕"/>
                <w:sz w:val="18"/>
                <w:lang w:val="x-none"/>
              </w:rPr>
              <w:t>/2</w:t>
            </w:r>
            <w:r w:rsidRPr="00C86053">
              <w:rPr>
                <w:rFonts w:eastAsia="맑은 고딕"/>
                <w:i/>
                <w:sz w:val="18"/>
                <w:vertAlign w:val="superscript"/>
                <w:lang w:val="x-none"/>
              </w:rPr>
              <w:sym w:font="Symbol" w:char="F06D"/>
            </w:r>
            <w:r w:rsidRPr="00C86053">
              <w:rPr>
                <w:rFonts w:eastAsia="맑은 고딕"/>
                <w:i/>
                <w:sz w:val="18"/>
                <w:vertAlign w:val="superscript"/>
                <w:lang w:val="x-none"/>
              </w:rPr>
              <w:t>(j)</w:t>
            </w:r>
            <w:r w:rsidRPr="00C86053">
              <w:rPr>
                <w:rFonts w:eastAsia="맑은 고딕"/>
                <w:sz w:val="18"/>
                <w:lang w:val="x-none"/>
              </w:rPr>
              <w:t xml:space="preserve">, where </w:t>
            </w:r>
            <w:r w:rsidRPr="00C86053">
              <w:rPr>
                <w:rFonts w:eastAsia="맑은 고딕"/>
                <w:i/>
                <w:sz w:val="18"/>
                <w:lang w:val="x-none"/>
              </w:rPr>
              <w:sym w:font="Symbol" w:char="F06D"/>
            </w:r>
            <w:r w:rsidRPr="00C86053">
              <w:rPr>
                <w:rFonts w:eastAsia="맑은 고딕"/>
                <w:i/>
                <w:sz w:val="18"/>
                <w:lang w:val="x-none"/>
              </w:rPr>
              <w:t>(j)</w:t>
            </w:r>
            <w:r w:rsidRPr="00C86053">
              <w:rPr>
                <w:rFonts w:eastAsia="맑은 고딕"/>
                <w:sz w:val="18"/>
                <w:lang w:val="x-none"/>
              </w:rPr>
              <w:t xml:space="preserve"> is the numerology for PDSCH(s) in slot </w:t>
            </w:r>
            <w:r w:rsidRPr="00C86053">
              <w:rPr>
                <w:rFonts w:eastAsia="맑은 고딕"/>
                <w:i/>
                <w:sz w:val="18"/>
                <w:lang w:val="x-none"/>
              </w:rPr>
              <w:t>s</w:t>
            </w:r>
            <w:r w:rsidRPr="00C86053">
              <w:rPr>
                <w:rFonts w:eastAsia="맑은 고딕"/>
                <w:i/>
                <w:sz w:val="18"/>
                <w:vertAlign w:val="subscript"/>
                <w:lang w:val="x-none"/>
              </w:rPr>
              <w:t>j</w:t>
            </w:r>
            <w:r w:rsidRPr="00C86053">
              <w:rPr>
                <w:rFonts w:eastAsia="맑은 고딕"/>
                <w:sz w:val="18"/>
                <w:lang w:val="x-none"/>
              </w:rPr>
              <w:t xml:space="preserve"> of the </w:t>
            </w:r>
            <w:r w:rsidRPr="00C86053">
              <w:rPr>
                <w:rFonts w:eastAsia="맑은 고딕"/>
                <w:i/>
                <w:sz w:val="18"/>
                <w:lang w:val="x-none"/>
              </w:rPr>
              <w:t>j</w:t>
            </w:r>
            <w:r w:rsidRPr="00C86053">
              <w:rPr>
                <w:rFonts w:eastAsia="맑은 고딕"/>
                <w:sz w:val="18"/>
                <w:lang w:val="x-none"/>
              </w:rPr>
              <w:t xml:space="preserve">-th </w:t>
            </w:r>
            <w:r w:rsidRPr="00C86053">
              <w:rPr>
                <w:rFonts w:eastAsia="맑은 고딕"/>
                <w:sz w:val="18"/>
                <w:lang w:val="x-none" w:eastAsia="ko-KR"/>
              </w:rPr>
              <w:t>serving cell</w:t>
            </w:r>
            <w:r w:rsidRPr="00C86053">
              <w:rPr>
                <w:rFonts w:eastAsia="맑은 고딕"/>
                <w:sz w:val="18"/>
                <w:lang w:val="x-none"/>
              </w:rPr>
              <w:t>.</w:t>
            </w:r>
            <w:r w:rsidRPr="00C86053">
              <w:rPr>
                <w:rFonts w:eastAsia="바탕체"/>
                <w:sz w:val="18"/>
                <w:lang w:val="x-none" w:eastAsia="ko-KR"/>
              </w:rPr>
              <w:t xml:space="preserve"> </w:t>
            </w:r>
          </w:p>
          <w:p w14:paraId="6F6AB47C" w14:textId="77777777" w:rsidR="00C86053" w:rsidRPr="00C86053" w:rsidRDefault="00C86053" w:rsidP="00C86053">
            <w:pPr>
              <w:spacing w:after="0"/>
              <w:ind w:left="851" w:hanging="284"/>
              <w:rPr>
                <w:rFonts w:eastAsia="맑은 고딕"/>
                <w:sz w:val="18"/>
                <w:lang w:val="x-none"/>
              </w:rPr>
            </w:pPr>
            <w:r w:rsidRPr="00C86053">
              <w:rPr>
                <w:rFonts w:eastAsia="맑은 고딕"/>
                <w:sz w:val="18"/>
                <w:lang w:val="x-none" w:eastAsia="ko-KR"/>
              </w:rPr>
              <w:t>-</w:t>
            </w:r>
            <w:r w:rsidRPr="00C86053">
              <w:rPr>
                <w:rFonts w:eastAsia="맑은 고딕"/>
                <w:sz w:val="18"/>
                <w:lang w:val="x-none" w:eastAsia="ko-KR"/>
              </w:rPr>
              <w:tab/>
              <w:t xml:space="preserve">for the </w:t>
            </w:r>
            <w:r w:rsidRPr="00C86053">
              <w:rPr>
                <w:rFonts w:eastAsia="맑은 고딕"/>
                <w:i/>
                <w:sz w:val="18"/>
                <w:lang w:val="x-none" w:eastAsia="ko-KR"/>
              </w:rPr>
              <w:t>m</w:t>
            </w:r>
            <w:r w:rsidRPr="00C86053">
              <w:rPr>
                <w:rFonts w:eastAsia="맑은 고딕"/>
                <w:sz w:val="18"/>
                <w:lang w:val="x-none"/>
              </w:rPr>
              <w:t>-th TB,</w:t>
            </w:r>
            <w:r w:rsidRPr="00C86053">
              <w:rPr>
                <w:rFonts w:eastAsia="맑은 고딕"/>
                <w:sz w:val="18"/>
              </w:rPr>
              <w:t xml:space="preserve"> </w:t>
            </w:r>
            <m:oMath>
              <m:sSub>
                <m:sSubPr>
                  <m:ctrlPr>
                    <w:rPr>
                      <w:rFonts w:ascii="Cambria Math" w:eastAsia="맑은 고딕" w:hAnsi="Cambria Math"/>
                      <w:sz w:val="18"/>
                      <w:lang w:val="x-none" w:eastAsia="ko-KR"/>
                    </w:rPr>
                  </m:ctrlPr>
                </m:sSubPr>
                <m:e>
                  <m:r>
                    <w:rPr>
                      <w:rFonts w:ascii="Cambria Math" w:eastAsia="맑은 고딕" w:hAnsi="Cambria Math"/>
                      <w:sz w:val="18"/>
                      <w:lang w:val="x-none" w:eastAsia="ko-KR"/>
                    </w:rPr>
                    <m:t>V</m:t>
                  </m:r>
                </m:e>
                <m:sub>
                  <m:r>
                    <w:rPr>
                      <w:rFonts w:ascii="Cambria Math" w:eastAsia="맑은 고딕" w:hAnsi="Cambria Math"/>
                      <w:sz w:val="18"/>
                      <w:lang w:val="x-none" w:eastAsia="ko-KR"/>
                    </w:rPr>
                    <m:t>j</m:t>
                  </m:r>
                  <m:r>
                    <m:rPr>
                      <m:sty m:val="p"/>
                    </m:rPr>
                    <w:rPr>
                      <w:rFonts w:ascii="Cambria Math" w:eastAsia="맑은 고딕" w:hAnsi="Cambria Math"/>
                      <w:sz w:val="18"/>
                      <w:lang w:val="x-none" w:eastAsia="ko-KR"/>
                    </w:rPr>
                    <m:t>,</m:t>
                  </m:r>
                  <m:r>
                    <w:rPr>
                      <w:rFonts w:ascii="Cambria Math" w:eastAsia="맑은 고딕" w:hAnsi="Cambria Math"/>
                      <w:sz w:val="18"/>
                      <w:lang w:val="x-none" w:eastAsia="ko-KR"/>
                    </w:rPr>
                    <m:t>m</m:t>
                  </m:r>
                </m:sub>
              </m:sSub>
              <m:r>
                <m:rPr>
                  <m:sty m:val="p"/>
                </m:rPr>
                <w:rPr>
                  <w:rFonts w:ascii="Cambria Math" w:eastAsia="맑은 고딕" w:hAnsi="Cambria Math"/>
                  <w:sz w:val="18"/>
                  <w:lang w:val="x-none" w:eastAsia="ko-KR"/>
                </w:rPr>
                <m:t>=</m:t>
              </m:r>
              <m:r>
                <w:rPr>
                  <w:rFonts w:ascii="Cambria Math" w:eastAsia="맑은 고딕" w:hAnsi="Cambria Math"/>
                  <w:sz w:val="18"/>
                  <w:lang w:val="x-none" w:eastAsia="ko-KR"/>
                </w:rPr>
                <m:t>C</m:t>
              </m:r>
              <m:r>
                <m:rPr>
                  <m:sty m:val="p"/>
                </m:rPr>
                <w:rPr>
                  <w:rFonts w:ascii="Cambria Math" w:eastAsia="맑은 고딕" w:hAnsi="Cambria Math"/>
                  <w:sz w:val="18"/>
                  <w:lang w:val="x-none" w:eastAsia="ko-KR"/>
                </w:rPr>
                <m:t>'∙</m:t>
              </m:r>
              <m:d>
                <m:dPr>
                  <m:begChr m:val="⌊"/>
                  <m:endChr m:val="⌋"/>
                  <m:ctrlPr>
                    <w:rPr>
                      <w:rFonts w:ascii="Cambria Math" w:eastAsia="맑은 고딕" w:hAnsi="Cambria Math"/>
                      <w:sz w:val="18"/>
                      <w:lang w:val="x-none"/>
                    </w:rPr>
                  </m:ctrlPr>
                </m:dPr>
                <m:e>
                  <m:f>
                    <m:fPr>
                      <m:ctrlPr>
                        <w:rPr>
                          <w:rFonts w:ascii="Cambria Math" w:eastAsia="맑은 고딕" w:hAnsi="Cambria Math"/>
                          <w:sz w:val="18"/>
                          <w:lang w:val="x-none"/>
                        </w:rPr>
                      </m:ctrlPr>
                    </m:fPr>
                    <m:num>
                      <m:r>
                        <w:rPr>
                          <w:rFonts w:ascii="Cambria Math" w:eastAsia="맑은 고딕" w:hAnsi="Cambria Math"/>
                          <w:sz w:val="18"/>
                          <w:lang w:val="x-none"/>
                        </w:rPr>
                        <m:t>A</m:t>
                      </m:r>
                    </m:num>
                    <m:den>
                      <m:r>
                        <w:rPr>
                          <w:rFonts w:ascii="Cambria Math" w:eastAsia="맑은 고딕" w:hAnsi="Cambria Math"/>
                          <w:sz w:val="18"/>
                          <w:lang w:val="x-none"/>
                        </w:rPr>
                        <m:t>C</m:t>
                      </m:r>
                    </m:den>
                  </m:f>
                </m:e>
              </m:d>
            </m:oMath>
          </w:p>
          <w:p w14:paraId="6B9AF859" w14:textId="77777777" w:rsidR="00C86053" w:rsidRPr="00C86053" w:rsidRDefault="00C86053" w:rsidP="00C86053">
            <w:pPr>
              <w:spacing w:after="0"/>
              <w:ind w:left="1135" w:hanging="284"/>
              <w:rPr>
                <w:rFonts w:eastAsia="맑은 고딕"/>
                <w:sz w:val="18"/>
                <w:lang w:val="x-none"/>
              </w:rPr>
            </w:pPr>
            <w:r w:rsidRPr="00C86053">
              <w:rPr>
                <w:rFonts w:eastAsia="맑은 고딕"/>
                <w:i/>
                <w:sz w:val="18"/>
              </w:rPr>
              <w:t>-</w:t>
            </w:r>
            <w:r w:rsidRPr="00C86053">
              <w:rPr>
                <w:rFonts w:eastAsia="맑은 고딕"/>
                <w:i/>
                <w:sz w:val="18"/>
              </w:rPr>
              <w:tab/>
            </w:r>
            <w:r w:rsidRPr="00C86053">
              <w:rPr>
                <w:rFonts w:eastAsia="맑은 고딕"/>
                <w:i/>
                <w:sz w:val="18"/>
                <w:lang w:val="x-none"/>
              </w:rPr>
              <w:t>A</w:t>
            </w:r>
            <w:r w:rsidRPr="00C86053">
              <w:rPr>
                <w:rFonts w:eastAsia="맑은 고딕"/>
                <w:sz w:val="18"/>
                <w:lang w:val="x-none"/>
              </w:rPr>
              <w:t xml:space="preserve"> is the number of bits in the transport block as defined in Subclause 7.2.1 [5, TS 38.212] </w:t>
            </w:r>
          </w:p>
          <w:p w14:paraId="33365F8D" w14:textId="77777777" w:rsidR="00C86053" w:rsidRPr="00C86053" w:rsidRDefault="00C86053" w:rsidP="00C86053">
            <w:pPr>
              <w:spacing w:after="0"/>
              <w:ind w:left="1135" w:hanging="284"/>
              <w:rPr>
                <w:rFonts w:eastAsia="맑은 고딕"/>
                <w:sz w:val="18"/>
                <w:lang w:val="x-none" w:eastAsia="ko-KR"/>
              </w:rPr>
            </w:pPr>
            <w:r w:rsidRPr="00C86053">
              <w:rPr>
                <w:rFonts w:eastAsia="맑은 고딕"/>
                <w:i/>
                <w:sz w:val="18"/>
              </w:rPr>
              <w:t>-</w:t>
            </w:r>
            <w:r w:rsidRPr="00C86053">
              <w:rPr>
                <w:rFonts w:eastAsia="맑은 고딕"/>
                <w:i/>
                <w:sz w:val="18"/>
              </w:rPr>
              <w:tab/>
            </w:r>
            <w:r w:rsidRPr="00C86053">
              <w:rPr>
                <w:rFonts w:eastAsia="맑은 고딕"/>
                <w:i/>
                <w:sz w:val="18"/>
                <w:lang w:val="x-none"/>
              </w:rPr>
              <w:t>C</w:t>
            </w:r>
            <w:r w:rsidRPr="00C86053">
              <w:rPr>
                <w:rFonts w:eastAsia="맑은 고딕"/>
                <w:sz w:val="18"/>
                <w:lang w:val="x-none"/>
              </w:rPr>
              <w:t xml:space="preserve"> </w:t>
            </w:r>
            <w:r w:rsidRPr="00C86053">
              <w:rPr>
                <w:rFonts w:eastAsia="맑은 고딕"/>
                <w:iCs/>
                <w:sz w:val="18"/>
                <w:lang w:val="x-none"/>
              </w:rPr>
              <w:t xml:space="preserve">is the total number of code blocks for the transport block </w:t>
            </w:r>
            <w:r w:rsidRPr="00C86053">
              <w:rPr>
                <w:rFonts w:eastAsia="맑은 고딕"/>
                <w:sz w:val="18"/>
                <w:lang w:val="x-none"/>
              </w:rPr>
              <w:t>defined in Subclause 5.2.2 [5, TS 38.212].</w:t>
            </w:r>
            <m:oMath>
              <m:r>
                <w:rPr>
                  <w:rFonts w:ascii="Cambria Math" w:eastAsia="맑은 고딕" w:hAnsi="Cambria Math"/>
                  <w:sz w:val="18"/>
                  <w:lang w:val="x-none" w:eastAsia="ko-KR"/>
                </w:rPr>
                <m:t xml:space="preserve"> </m:t>
              </m:r>
            </m:oMath>
          </w:p>
          <w:p w14:paraId="47FC6962" w14:textId="77777777" w:rsidR="00C86053" w:rsidRPr="00C86053" w:rsidRDefault="00C86053" w:rsidP="00C86053">
            <w:pPr>
              <w:spacing w:after="0"/>
              <w:ind w:left="1135" w:hanging="284"/>
              <w:rPr>
                <w:rFonts w:eastAsia="맑은 고딕"/>
                <w:sz w:val="18"/>
                <w:lang w:val="x-none"/>
              </w:rPr>
            </w:pPr>
            <w:r w:rsidRPr="00C86053">
              <w:rPr>
                <w:rFonts w:eastAsia="맑은 고딕"/>
                <w:i/>
                <w:sz w:val="18"/>
              </w:rPr>
              <w:t>-</w:t>
            </w:r>
            <w:r w:rsidRPr="00C86053">
              <w:rPr>
                <w:rFonts w:eastAsia="맑은 고딕"/>
                <w:i/>
                <w:sz w:val="18"/>
              </w:rPr>
              <w:tab/>
            </w:r>
            <m:oMath>
              <m:r>
                <w:rPr>
                  <w:rFonts w:ascii="Cambria Math" w:eastAsia="맑은 고딕" w:hAnsi="Cambria Math"/>
                  <w:sz w:val="18"/>
                  <w:lang w:val="x-none" w:eastAsia="ko-KR"/>
                </w:rPr>
                <m:t>C'</m:t>
              </m:r>
            </m:oMath>
            <w:r w:rsidRPr="00C86053">
              <w:rPr>
                <w:rFonts w:eastAsia="맑은 고딕"/>
                <w:sz w:val="18"/>
                <w:lang w:val="x-none" w:eastAsia="ko-KR"/>
              </w:rPr>
              <w:t xml:space="preserve"> </w:t>
            </w:r>
            <w:r w:rsidRPr="00C86053">
              <w:rPr>
                <w:rFonts w:eastAsia="맑은 고딕"/>
                <w:sz w:val="18"/>
                <w:lang w:val="x-none"/>
              </w:rPr>
              <w:t xml:space="preserve">is the number of scheduled code blocks for the transport block as defined in Subclause 5.4.2.1 [5, TS 38.212] </w:t>
            </w:r>
          </w:p>
          <w:p w14:paraId="7C8FC802" w14:textId="3963A12E" w:rsidR="00C86053" w:rsidRPr="00C86053" w:rsidRDefault="00C86053" w:rsidP="00C86053">
            <w:pPr>
              <w:pStyle w:val="Style1"/>
              <w:spacing w:after="0" w:afterAutospacing="0" w:line="240" w:lineRule="auto"/>
              <w:ind w:firstLine="0"/>
              <w:rPr>
                <w:sz w:val="18"/>
                <w:lang w:val="en-GB"/>
              </w:rPr>
            </w:pPr>
            <w:r w:rsidRPr="00C86053">
              <w:rPr>
                <w:rFonts w:eastAsia="맑은 고딕"/>
                <w:sz w:val="18"/>
                <w:lang w:eastAsia="en-US"/>
              </w:rPr>
              <w:t>-</w:t>
            </w:r>
            <w:r w:rsidRPr="00C86053">
              <w:rPr>
                <w:rFonts w:eastAsia="맑은 고딕"/>
                <w:sz w:val="18"/>
                <w:lang w:eastAsia="en-US"/>
              </w:rPr>
              <w:tab/>
            </w:r>
            <m:oMath>
              <m:r>
                <w:rPr>
                  <w:rFonts w:ascii="Cambria Math" w:eastAsia="맑은 고딕" w:hAnsi="Cambria Math"/>
                  <w:sz w:val="18"/>
                  <w:lang w:val="en-GB" w:eastAsia="en-US"/>
                </w:rPr>
                <m:t>DataRate</m:t>
              </m:r>
            </m:oMath>
            <w:r w:rsidRPr="00C86053">
              <w:rPr>
                <w:rFonts w:eastAsia="맑은 고딕"/>
                <w:sz w:val="18"/>
                <w:lang w:val="en-GB" w:eastAsia="en-US"/>
              </w:rPr>
              <w:t xml:space="preserve"> </w:t>
            </w:r>
            <w:r w:rsidRPr="00C86053">
              <w:rPr>
                <w:rFonts w:eastAsia="맑은 고딕"/>
                <w:sz w:val="18"/>
                <w:lang w:val="en-GB" w:eastAsia="ko-KR"/>
              </w:rPr>
              <w:t>[Mbps]</w:t>
            </w:r>
            <w:r w:rsidRPr="00C86053">
              <w:rPr>
                <w:rFonts w:eastAsia="맑은 고딕" w:hint="eastAsia"/>
                <w:sz w:val="18"/>
                <w:lang w:val="en-GB" w:eastAsia="ko-KR"/>
              </w:rPr>
              <w:t xml:space="preserve"> </w:t>
            </w:r>
            <w:r w:rsidRPr="00C86053">
              <w:rPr>
                <w:rFonts w:eastAsia="맑은 고딕"/>
                <w:sz w:val="18"/>
                <w:lang w:val="en-GB" w:eastAsia="en-US"/>
              </w:rPr>
              <w:t xml:space="preserve">is computed by the approximate maximum data rate given by Subclause 4.1.2 in [13, TS 38.306] from the band/band combination signaling for the J carriers, </w:t>
            </w:r>
            <w:r w:rsidRPr="00C86053">
              <w:rPr>
                <w:rFonts w:eastAsia="맑은 고딕"/>
                <w:sz w:val="18"/>
                <w:lang w:val="en-GB" w:eastAsia="ko-KR"/>
              </w:rPr>
              <w:t xml:space="preserve">including the scaling factor </w:t>
            </w:r>
            <w:r w:rsidRPr="00C86053">
              <w:rPr>
                <w:rFonts w:eastAsia="맑은 고딕"/>
                <w:i/>
                <w:sz w:val="18"/>
                <w:lang w:val="en-GB" w:eastAsia="ko-KR"/>
              </w:rPr>
              <w:t>f(i)</w:t>
            </w:r>
            <w:r w:rsidRPr="00C86053">
              <w:rPr>
                <w:rFonts w:eastAsia="맑은 고딕"/>
                <w:i/>
                <w:sz w:val="18"/>
                <w:lang w:val="en-GB" w:eastAsia="en-US"/>
              </w:rPr>
              <w:t>.</w:t>
            </w:r>
          </w:p>
        </w:tc>
        <w:tc>
          <w:tcPr>
            <w:tcW w:w="4920" w:type="dxa"/>
            <w:tcBorders>
              <w:bottom w:val="single" w:sz="4" w:space="0" w:color="auto"/>
            </w:tcBorders>
          </w:tcPr>
          <w:p w14:paraId="035C09EF" w14:textId="77777777" w:rsidR="00C86053" w:rsidRPr="00C86053" w:rsidRDefault="00C86053" w:rsidP="00C86053">
            <w:pPr>
              <w:spacing w:after="0"/>
              <w:rPr>
                <w:color w:val="000000" w:themeColor="text1"/>
                <w:sz w:val="18"/>
                <w:lang w:eastAsia="zh-CN"/>
              </w:rPr>
            </w:pPr>
            <w:r w:rsidRPr="00C86053">
              <w:rPr>
                <w:color w:val="000000" w:themeColor="text1"/>
                <w:sz w:val="18"/>
                <w:lang w:eastAsia="zh-CN"/>
              </w:rPr>
              <w:t xml:space="preserve">For a </w:t>
            </w:r>
            <w:r w:rsidRPr="00C86053">
              <w:rPr>
                <w:i/>
                <w:color w:val="000000" w:themeColor="text1"/>
                <w:sz w:val="18"/>
                <w:lang w:eastAsia="zh-CN"/>
              </w:rPr>
              <w:t>j-</w:t>
            </w:r>
            <w:r w:rsidRPr="00C86053">
              <w:rPr>
                <w:color w:val="000000" w:themeColor="text1"/>
                <w:sz w:val="18"/>
                <w:lang w:eastAsia="zh-CN"/>
              </w:rPr>
              <w:t xml:space="preserve">th serving cell, </w:t>
            </w:r>
            <w:r w:rsidRPr="00C86053">
              <w:rPr>
                <w:color w:val="000000" w:themeColor="text1"/>
                <w:sz w:val="18"/>
                <w:lang w:eastAsia="ko-KR"/>
              </w:rPr>
              <w:t xml:space="preserve">if the UE supports capability 2 processing time for the serving cell or </w:t>
            </w:r>
            <w:r w:rsidRPr="00C86053">
              <w:rPr>
                <w:color w:val="000000" w:themeColor="text1"/>
                <w:sz w:val="18"/>
                <w:lang w:eastAsia="zh-CN"/>
              </w:rPr>
              <w:t xml:space="preserve">if at least one </w:t>
            </w:r>
            <w:r w:rsidRPr="00C86053">
              <w:rPr>
                <w:i/>
                <w:color w:val="000000" w:themeColor="text1"/>
                <w:sz w:val="18"/>
                <w:lang w:eastAsia="zh-CN"/>
              </w:rPr>
              <w:t>I</w:t>
            </w:r>
            <w:r w:rsidRPr="00C86053">
              <w:rPr>
                <w:i/>
                <w:color w:val="000000" w:themeColor="text1"/>
                <w:sz w:val="18"/>
                <w:vertAlign w:val="subscript"/>
                <w:lang w:eastAsia="zh-CN"/>
              </w:rPr>
              <w:t>MCS</w:t>
            </w:r>
            <w:r w:rsidRPr="00C86053">
              <w:rPr>
                <w:i/>
                <w:color w:val="000000" w:themeColor="text1"/>
                <w:sz w:val="18"/>
                <w:lang w:eastAsia="zh-CN"/>
              </w:rPr>
              <w:t xml:space="preserve"> &gt;</w:t>
            </w:r>
            <w:r w:rsidRPr="00C86053">
              <w:rPr>
                <w:color w:val="000000" w:themeColor="text1"/>
                <w:sz w:val="18"/>
                <w:lang w:eastAsia="zh-CN"/>
              </w:rPr>
              <w:t xml:space="preserve"> </w:t>
            </w:r>
            <w:r w:rsidRPr="00C86053">
              <w:rPr>
                <w:i/>
                <w:color w:val="000000" w:themeColor="text1"/>
                <w:sz w:val="18"/>
                <w:lang w:eastAsia="zh-CN"/>
              </w:rPr>
              <w:t>W</w:t>
            </w:r>
            <w:r w:rsidRPr="00C86053">
              <w:rPr>
                <w:color w:val="000000" w:themeColor="text1"/>
                <w:sz w:val="18"/>
                <w:lang w:eastAsia="zh-CN"/>
              </w:rPr>
              <w:t xml:space="preserve"> for a PDSCH, where </w:t>
            </w:r>
            <w:r w:rsidRPr="00C86053">
              <w:rPr>
                <w:i/>
                <w:color w:val="000000" w:themeColor="text1"/>
                <w:sz w:val="18"/>
                <w:lang w:eastAsia="zh-CN"/>
              </w:rPr>
              <w:t>W</w:t>
            </w:r>
            <w:r w:rsidRPr="00C86053">
              <w:rPr>
                <w:color w:val="000000" w:themeColor="text1"/>
                <w:sz w:val="18"/>
                <w:lang w:eastAsia="zh-CN"/>
              </w:rPr>
              <w:t xml:space="preserve"> = 28 for MCS tables 5.1.3.1-1 and 5.1.3.1-3, and </w:t>
            </w:r>
            <w:r w:rsidRPr="00C86053">
              <w:rPr>
                <w:i/>
                <w:color w:val="000000" w:themeColor="text1"/>
                <w:sz w:val="18"/>
                <w:lang w:eastAsia="zh-CN"/>
              </w:rPr>
              <w:t>W</w:t>
            </w:r>
            <w:r w:rsidRPr="00C86053">
              <w:rPr>
                <w:color w:val="000000" w:themeColor="text1"/>
                <w:sz w:val="18"/>
                <w:lang w:eastAsia="zh-CN"/>
              </w:rPr>
              <w:t xml:space="preserve"> = 27 for MCS table 5.1.3.1-2,</w:t>
            </w:r>
            <w:r w:rsidRPr="00C86053">
              <w:rPr>
                <w:color w:val="000000" w:themeColor="text1"/>
                <w:sz w:val="18"/>
              </w:rPr>
              <w:t xml:space="preserve"> </w:t>
            </w:r>
            <w:r w:rsidRPr="00C86053">
              <w:rPr>
                <w:color w:val="000000" w:themeColor="text1"/>
                <w:sz w:val="18"/>
                <w:lang w:eastAsia="zh-CN"/>
              </w:rPr>
              <w:t>the UE is not required to handle PDSCH transmissions, if the following condition is not satisfied:</w:t>
            </w:r>
          </w:p>
          <w:p w14:paraId="7CF5DAFB" w14:textId="77777777" w:rsidR="00C86053" w:rsidRPr="00C86053" w:rsidRDefault="001B5B35" w:rsidP="00C86053">
            <w:pPr>
              <w:pStyle w:val="EQ"/>
              <w:spacing w:after="0"/>
              <w:rPr>
                <w:sz w:val="18"/>
                <w:lang w:val="sv-SE"/>
              </w:rPr>
            </w:pPr>
            <m:oMathPara>
              <m:oMathParaPr>
                <m:jc m:val="centerGroup"/>
              </m:oMathParaPr>
              <m:oMath>
                <m:f>
                  <m:fPr>
                    <m:ctrlPr>
                      <w:rPr>
                        <w:rFonts w:ascii="Cambria Math" w:hAnsi="Cambria Math"/>
                        <w:sz w:val="18"/>
                        <w:lang w:eastAsia="ko-KR"/>
                      </w:rPr>
                    </m:ctrlPr>
                  </m:fPr>
                  <m:num>
                    <m:nary>
                      <m:naryPr>
                        <m:chr m:val="∑"/>
                        <m:limLoc m:val="subSup"/>
                        <m:ctrlPr>
                          <w:rPr>
                            <w:rFonts w:ascii="Cambria Math" w:hAnsi="Cambria Math"/>
                            <w:sz w:val="18"/>
                            <w:lang w:eastAsia="ko-KR"/>
                          </w:rPr>
                        </m:ctrlPr>
                      </m:naryPr>
                      <m:sub>
                        <m:r>
                          <w:rPr>
                            <w:rFonts w:ascii="Cambria Math" w:hAnsi="Cambria Math"/>
                            <w:sz w:val="18"/>
                            <w:lang w:eastAsia="ko-KR"/>
                          </w:rPr>
                          <m:t>m</m:t>
                        </m:r>
                        <m:r>
                          <m:rPr>
                            <m:sty m:val="p"/>
                          </m:rPr>
                          <w:rPr>
                            <w:rFonts w:ascii="Cambria Math" w:hAnsi="Cambria Math"/>
                            <w:sz w:val="18"/>
                            <w:lang w:eastAsia="ko-KR"/>
                          </w:rPr>
                          <m:t>=0</m:t>
                        </m:r>
                      </m:sub>
                      <m:sup>
                        <m:r>
                          <w:rPr>
                            <w:rFonts w:ascii="Cambria Math" w:hAnsi="Cambria Math"/>
                            <w:sz w:val="18"/>
                            <w:lang w:eastAsia="ko-KR"/>
                          </w:rPr>
                          <m:t>M</m:t>
                        </m:r>
                        <m:r>
                          <m:rPr>
                            <m:sty m:val="p"/>
                          </m:rPr>
                          <w:rPr>
                            <w:rFonts w:ascii="Cambria Math" w:hAnsi="Cambria Math"/>
                            <w:sz w:val="18"/>
                            <w:lang w:eastAsia="ko-KR"/>
                          </w:rPr>
                          <m:t>-1</m:t>
                        </m:r>
                      </m:sup>
                      <m:e>
                        <m:sSub>
                          <m:sSubPr>
                            <m:ctrlPr>
                              <w:rPr>
                                <w:rFonts w:ascii="Cambria Math" w:hAnsi="Cambria Math"/>
                                <w:sz w:val="18"/>
                                <w:lang w:eastAsia="ko-KR"/>
                              </w:rPr>
                            </m:ctrlPr>
                          </m:sSubPr>
                          <m:e>
                            <m:r>
                              <w:rPr>
                                <w:rFonts w:ascii="Cambria Math" w:hAnsi="Cambria Math"/>
                                <w:sz w:val="18"/>
                                <w:lang w:eastAsia="ko-KR"/>
                              </w:rPr>
                              <m:t>V</m:t>
                            </m:r>
                          </m:e>
                          <m:sub>
                            <m:r>
                              <w:rPr>
                                <w:rFonts w:ascii="Cambria Math" w:hAnsi="Cambria Math"/>
                                <w:sz w:val="18"/>
                                <w:lang w:eastAsia="ko-KR"/>
                              </w:rPr>
                              <m:t>j</m:t>
                            </m:r>
                            <m:r>
                              <m:rPr>
                                <m:sty m:val="p"/>
                              </m:rPr>
                              <w:rPr>
                                <w:rFonts w:ascii="Cambria Math" w:hAnsi="Cambria Math"/>
                                <w:sz w:val="18"/>
                                <w:lang w:eastAsia="ko-KR"/>
                              </w:rPr>
                              <m:t>,</m:t>
                            </m:r>
                            <m:r>
                              <w:rPr>
                                <w:rFonts w:ascii="Cambria Math" w:hAnsi="Cambria Math"/>
                                <w:sz w:val="18"/>
                                <w:lang w:eastAsia="ko-KR"/>
                              </w:rPr>
                              <m:t>m</m:t>
                            </m:r>
                          </m:sub>
                        </m:sSub>
                      </m:e>
                    </m:nary>
                  </m:num>
                  <m:den>
                    <m:r>
                      <w:rPr>
                        <w:rFonts w:ascii="Cambria Math" w:hAnsi="Cambria Math"/>
                        <w:sz w:val="18"/>
                      </w:rPr>
                      <m:t>L</m:t>
                    </m:r>
                    <m:r>
                      <m:rPr>
                        <m:sty m:val="p"/>
                      </m:rPr>
                      <w:rPr>
                        <w:rFonts w:ascii="Cambria Math" w:hAnsi="Cambria Math"/>
                        <w:sz w:val="18"/>
                      </w:rPr>
                      <m:t>×</m:t>
                    </m:r>
                    <m:sSubSup>
                      <m:sSubSupPr>
                        <m:ctrlPr>
                          <w:rPr>
                            <w:rFonts w:ascii="Cambria Math" w:hAnsi="Cambria Math"/>
                            <w:iCs/>
                            <w:sz w:val="18"/>
                          </w:rPr>
                        </m:ctrlPr>
                      </m:sSubSupPr>
                      <m:e>
                        <m:r>
                          <w:rPr>
                            <w:rFonts w:ascii="Cambria Math" w:hAnsi="Cambria Math"/>
                            <w:sz w:val="18"/>
                          </w:rPr>
                          <m:t>T</m:t>
                        </m:r>
                      </m:e>
                      <m:sub>
                        <m:r>
                          <w:rPr>
                            <w:rFonts w:ascii="Cambria Math" w:hAnsi="Cambria Math"/>
                            <w:sz w:val="18"/>
                          </w:rPr>
                          <m:t>s</m:t>
                        </m:r>
                      </m:sub>
                      <m:sup>
                        <m:r>
                          <w:rPr>
                            <w:rFonts w:ascii="Cambria Math" w:hAnsi="Cambria Math"/>
                            <w:sz w:val="18"/>
                          </w:rPr>
                          <m:t>μ</m:t>
                        </m:r>
                      </m:sup>
                    </m:sSubSup>
                  </m:den>
                </m:f>
                <m:r>
                  <m:rPr>
                    <m:sty m:val="p"/>
                  </m:rPr>
                  <w:rPr>
                    <w:rFonts w:ascii="Cambria Math" w:hAnsi="Cambria Math"/>
                    <w:sz w:val="18"/>
                  </w:rPr>
                  <m:t>≤</m:t>
                </m:r>
                <m:r>
                  <w:rPr>
                    <w:rFonts w:ascii="Cambria Math" w:hAnsi="Cambria Math"/>
                    <w:sz w:val="18"/>
                  </w:rPr>
                  <m:t>DataRateCC</m:t>
                </m:r>
              </m:oMath>
            </m:oMathPara>
          </w:p>
          <w:p w14:paraId="7EDEC21F" w14:textId="77777777" w:rsidR="00C86053" w:rsidRPr="00C86053" w:rsidRDefault="00C86053" w:rsidP="00C86053">
            <w:pPr>
              <w:spacing w:after="0"/>
              <w:rPr>
                <w:iCs/>
                <w:color w:val="000000" w:themeColor="text1"/>
                <w:sz w:val="18"/>
              </w:rPr>
            </w:pPr>
            <w:r w:rsidRPr="00C86053">
              <w:rPr>
                <w:iCs/>
                <w:color w:val="000000" w:themeColor="text1"/>
                <w:sz w:val="18"/>
                <w:lang w:eastAsia="ko-KR"/>
              </w:rPr>
              <w:t>w</w:t>
            </w:r>
            <w:r w:rsidRPr="00C86053">
              <w:rPr>
                <w:iCs/>
                <w:color w:val="000000" w:themeColor="text1"/>
                <w:sz w:val="18"/>
              </w:rPr>
              <w:t>here</w:t>
            </w:r>
          </w:p>
          <w:p w14:paraId="42CA11AD" w14:textId="77777777" w:rsidR="00C86053" w:rsidRPr="00C86053" w:rsidRDefault="00C86053" w:rsidP="00C86053">
            <w:pPr>
              <w:pStyle w:val="B1"/>
              <w:spacing w:after="0"/>
              <w:rPr>
                <w:sz w:val="18"/>
              </w:rPr>
            </w:pPr>
            <w:r w:rsidRPr="00C86053">
              <w:rPr>
                <w:sz w:val="18"/>
              </w:rPr>
              <w:t>-</w:t>
            </w:r>
            <w:r w:rsidRPr="00C86053">
              <w:rPr>
                <w:sz w:val="18"/>
              </w:rPr>
              <w:tab/>
            </w:r>
            <m:oMath>
              <m:r>
                <w:rPr>
                  <w:rFonts w:ascii="Cambria Math" w:hAnsi="Cambria Math"/>
                  <w:sz w:val="18"/>
                </w:rPr>
                <m:t xml:space="preserve">L </m:t>
              </m:r>
            </m:oMath>
            <w:r w:rsidRPr="00C86053">
              <w:rPr>
                <w:sz w:val="18"/>
              </w:rPr>
              <w:t>is the number of symbols assigned to the PDSCH</w:t>
            </w:r>
          </w:p>
          <w:p w14:paraId="5D1501C6" w14:textId="77777777" w:rsidR="00C86053" w:rsidRPr="00C86053" w:rsidRDefault="00C86053" w:rsidP="00C86053">
            <w:pPr>
              <w:pStyle w:val="B1"/>
              <w:spacing w:after="0"/>
              <w:rPr>
                <w:sz w:val="18"/>
              </w:rPr>
            </w:pPr>
            <w:r w:rsidRPr="00C86053">
              <w:rPr>
                <w:sz w:val="18"/>
                <w:lang w:eastAsia="ko-KR"/>
              </w:rPr>
              <w:t>-</w:t>
            </w:r>
            <w:r w:rsidRPr="00C86053">
              <w:rPr>
                <w:sz w:val="18"/>
                <w:lang w:eastAsia="ko-KR"/>
              </w:rPr>
              <w:tab/>
            </w:r>
            <w:r w:rsidRPr="00C86053">
              <w:rPr>
                <w:rFonts w:hint="eastAsia"/>
                <w:sz w:val="18"/>
                <w:lang w:eastAsia="ko-KR"/>
              </w:rPr>
              <w:t>M is the number of TB</w:t>
            </w:r>
            <w:r w:rsidRPr="00C86053">
              <w:rPr>
                <w:sz w:val="18"/>
                <w:lang w:eastAsia="ko-KR"/>
              </w:rPr>
              <w:t>(s)</w:t>
            </w:r>
            <w:r w:rsidRPr="00C86053">
              <w:rPr>
                <w:rFonts w:hint="eastAsia"/>
                <w:sz w:val="18"/>
                <w:lang w:eastAsia="ko-KR"/>
              </w:rPr>
              <w:t xml:space="preserve"> </w:t>
            </w:r>
            <w:r w:rsidRPr="00C86053">
              <w:rPr>
                <w:sz w:val="18"/>
                <w:lang w:eastAsia="ko-KR"/>
              </w:rPr>
              <w:t>in the PDSCH</w:t>
            </w:r>
          </w:p>
          <w:p w14:paraId="09F1E04D" w14:textId="77777777" w:rsidR="00C86053" w:rsidRPr="00C86053" w:rsidRDefault="00C86053" w:rsidP="00C86053">
            <w:pPr>
              <w:pStyle w:val="B1"/>
              <w:spacing w:after="0"/>
              <w:rPr>
                <w:sz w:val="18"/>
              </w:rPr>
            </w:pPr>
            <w:r w:rsidRPr="00C86053">
              <w:rPr>
                <w:sz w:val="18"/>
              </w:rPr>
              <w:t>-</w:t>
            </w:r>
            <w:r w:rsidRPr="00C86053">
              <w:rPr>
                <w:sz w:val="18"/>
              </w:rPr>
              <w:tab/>
            </w:r>
            <m:oMath>
              <m:sSubSup>
                <m:sSubSupPr>
                  <m:ctrlPr>
                    <w:rPr>
                      <w:rFonts w:ascii="Cambria Math" w:hAnsi="Cambria Math"/>
                      <w:i/>
                      <w:sz w:val="18"/>
                    </w:rPr>
                  </m:ctrlPr>
                </m:sSubSupPr>
                <m:e>
                  <m:r>
                    <w:rPr>
                      <w:rFonts w:ascii="Cambria Math" w:hAnsi="Cambria Math"/>
                      <w:sz w:val="18"/>
                    </w:rPr>
                    <m:t>T</m:t>
                  </m:r>
                </m:e>
                <m:sub>
                  <m:r>
                    <w:rPr>
                      <w:rFonts w:ascii="Cambria Math" w:hAnsi="Cambria Math"/>
                      <w:sz w:val="18"/>
                    </w:rPr>
                    <m:t>s</m:t>
                  </m:r>
                </m:sub>
                <m:sup>
                  <m:r>
                    <w:rPr>
                      <w:rFonts w:ascii="Cambria Math" w:hAnsi="Cambria Math"/>
                      <w:sz w:val="18"/>
                    </w:rPr>
                    <m:t>μ</m:t>
                  </m:r>
                </m:sup>
              </m:sSubSup>
              <m:r>
                <w:rPr>
                  <w:rFonts w:ascii="Cambria Math" w:hAnsi="Cambria Math"/>
                  <w:sz w:val="18"/>
                </w:rPr>
                <m:t>=</m:t>
              </m:r>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10</m:t>
                      </m:r>
                    </m:e>
                    <m:sup>
                      <m:r>
                        <w:rPr>
                          <w:rFonts w:ascii="Cambria Math" w:hAnsi="Cambria Math"/>
                          <w:sz w:val="18"/>
                        </w:rPr>
                        <m:t>-3</m:t>
                      </m:r>
                    </m:sup>
                  </m:sSup>
                </m:num>
                <m:den>
                  <m:sSubSup>
                    <m:sSubSupPr>
                      <m:ctrlPr>
                        <w:rPr>
                          <w:rFonts w:ascii="Cambria Math" w:hAnsi="Cambria Math"/>
                          <w:i/>
                          <w:sz w:val="18"/>
                        </w:rPr>
                      </m:ctrlPr>
                    </m:sSubSupPr>
                    <m:e>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w:rPr>
                          <w:rFonts w:ascii="Cambria Math" w:hAnsi="Cambria Math"/>
                          <w:sz w:val="18"/>
                        </w:rPr>
                        <m:t>∙N</m:t>
                      </m:r>
                    </m:e>
                    <m:sub>
                      <m:r>
                        <w:rPr>
                          <w:rFonts w:ascii="Cambria Math" w:hAnsi="Cambria Math"/>
                          <w:sz w:val="18"/>
                        </w:rPr>
                        <m:t>symb</m:t>
                      </m:r>
                    </m:sub>
                    <m:sup>
                      <m:r>
                        <w:rPr>
                          <w:rFonts w:ascii="Cambria Math" w:hAnsi="Cambria Math"/>
                          <w:sz w:val="18"/>
                        </w:rPr>
                        <m:t>slot</m:t>
                      </m:r>
                    </m:sup>
                  </m:sSubSup>
                </m:den>
              </m:f>
            </m:oMath>
            <w:r w:rsidRPr="00C86053">
              <w:rPr>
                <w:sz w:val="18"/>
              </w:rPr>
              <w:t xml:space="preserve"> where </w:t>
            </w:r>
            <w:r w:rsidRPr="00C86053">
              <w:rPr>
                <w:i/>
                <w:sz w:val="18"/>
              </w:rPr>
              <w:sym w:font="Symbol" w:char="F06D"/>
            </w:r>
            <w:r w:rsidRPr="00C86053">
              <w:rPr>
                <w:sz w:val="18"/>
              </w:rPr>
              <w:t xml:space="preserve"> is the numerology of the PDSCH </w:t>
            </w:r>
          </w:p>
          <w:p w14:paraId="1F369582" w14:textId="77777777" w:rsidR="00C86053" w:rsidRPr="00C86053" w:rsidRDefault="00C86053" w:rsidP="00C86053">
            <w:pPr>
              <w:pStyle w:val="B1"/>
              <w:spacing w:after="0"/>
              <w:rPr>
                <w:sz w:val="18"/>
              </w:rPr>
            </w:pPr>
            <w:r w:rsidRPr="00C86053">
              <w:rPr>
                <w:sz w:val="18"/>
                <w:lang w:eastAsia="ko-KR"/>
              </w:rPr>
              <w:t>-</w:t>
            </w:r>
            <w:r w:rsidRPr="00C86053">
              <w:rPr>
                <w:sz w:val="18"/>
                <w:lang w:eastAsia="ko-KR"/>
              </w:rPr>
              <w:tab/>
              <w:t xml:space="preserve">for the </w:t>
            </w:r>
            <w:r w:rsidRPr="00C86053">
              <w:rPr>
                <w:i/>
                <w:sz w:val="18"/>
                <w:lang w:eastAsia="ko-KR"/>
              </w:rPr>
              <w:t>m</w:t>
            </w:r>
            <w:r w:rsidRPr="00C86053">
              <w:rPr>
                <w:sz w:val="18"/>
              </w:rPr>
              <w:t xml:space="preserve">-th TB, </w:t>
            </w:r>
            <m:oMath>
              <m:sSub>
                <m:sSubPr>
                  <m:ctrlPr>
                    <w:rPr>
                      <w:rFonts w:ascii="Cambria Math" w:hAnsi="Cambria Math"/>
                      <w:sz w:val="18"/>
                      <w:lang w:eastAsia="ko-KR"/>
                    </w:rPr>
                  </m:ctrlPr>
                </m:sSubPr>
                <m:e>
                  <m:r>
                    <w:rPr>
                      <w:rFonts w:ascii="Cambria Math" w:hAnsi="Cambria Math"/>
                      <w:sz w:val="18"/>
                      <w:lang w:eastAsia="ko-KR"/>
                    </w:rPr>
                    <m:t>V</m:t>
                  </m:r>
                </m:e>
                <m:sub>
                  <m:r>
                    <w:rPr>
                      <w:rFonts w:ascii="Cambria Math" w:hAnsi="Cambria Math"/>
                      <w:sz w:val="18"/>
                      <w:lang w:eastAsia="ko-KR"/>
                    </w:rPr>
                    <m:t>j</m:t>
                  </m:r>
                  <m:r>
                    <m:rPr>
                      <m:sty m:val="p"/>
                    </m:rPr>
                    <w:rPr>
                      <w:rFonts w:ascii="Cambria Math" w:hAnsi="Cambria Math"/>
                      <w:sz w:val="18"/>
                      <w:lang w:eastAsia="ko-KR"/>
                    </w:rPr>
                    <m:t>,</m:t>
                  </m:r>
                  <m:r>
                    <w:rPr>
                      <w:rFonts w:ascii="Cambria Math" w:hAnsi="Cambria Math"/>
                      <w:sz w:val="18"/>
                      <w:lang w:eastAsia="ko-KR"/>
                    </w:rPr>
                    <m:t>m</m:t>
                  </m:r>
                </m:sub>
              </m:sSub>
              <m:r>
                <m:rPr>
                  <m:sty m:val="p"/>
                </m:rPr>
                <w:rPr>
                  <w:rFonts w:ascii="Cambria Math" w:hAnsi="Cambria Math"/>
                  <w:sz w:val="18"/>
                  <w:lang w:eastAsia="ko-KR"/>
                </w:rPr>
                <m:t>=</m:t>
              </m:r>
              <m:r>
                <w:rPr>
                  <w:rFonts w:ascii="Cambria Math" w:hAnsi="Cambria Math"/>
                  <w:sz w:val="18"/>
                  <w:lang w:eastAsia="ko-KR"/>
                </w:rPr>
                <m:t>C</m:t>
              </m:r>
              <m:r>
                <m:rPr>
                  <m:sty m:val="p"/>
                </m:rPr>
                <w:rPr>
                  <w:rFonts w:ascii="Cambria Math" w:hAnsi="Cambria Math"/>
                  <w:sz w:val="18"/>
                  <w:lang w:eastAsia="ko-KR"/>
                </w:rPr>
                <m:t>'∙</m:t>
              </m:r>
              <m:d>
                <m:dPr>
                  <m:begChr m:val="⌊"/>
                  <m:endChr m:val="⌋"/>
                  <m:ctrlPr>
                    <w:rPr>
                      <w:rFonts w:ascii="Cambria Math" w:hAnsi="Cambria Math"/>
                      <w:sz w:val="18"/>
                    </w:rPr>
                  </m:ctrlPr>
                </m:dPr>
                <m:e>
                  <m:f>
                    <m:fPr>
                      <m:ctrlPr>
                        <w:rPr>
                          <w:rFonts w:ascii="Cambria Math" w:hAnsi="Cambria Math"/>
                          <w:sz w:val="18"/>
                        </w:rPr>
                      </m:ctrlPr>
                    </m:fPr>
                    <m:num>
                      <m:r>
                        <w:rPr>
                          <w:rFonts w:ascii="Cambria Math" w:hAnsi="Cambria Math"/>
                          <w:sz w:val="18"/>
                        </w:rPr>
                        <m:t>A</m:t>
                      </m:r>
                    </m:num>
                    <m:den>
                      <m:r>
                        <w:rPr>
                          <w:rFonts w:ascii="Cambria Math" w:hAnsi="Cambria Math"/>
                          <w:sz w:val="18"/>
                        </w:rPr>
                        <m:t>C</m:t>
                      </m:r>
                    </m:den>
                  </m:f>
                </m:e>
              </m:d>
            </m:oMath>
          </w:p>
          <w:p w14:paraId="0C126429" w14:textId="77777777" w:rsidR="00C86053" w:rsidRPr="00C86053" w:rsidRDefault="00C86053" w:rsidP="00C86053">
            <w:pPr>
              <w:pStyle w:val="B2"/>
              <w:spacing w:after="0"/>
              <w:rPr>
                <w:sz w:val="18"/>
              </w:rPr>
            </w:pPr>
            <w:r w:rsidRPr="00C86053">
              <w:rPr>
                <w:i/>
                <w:sz w:val="18"/>
              </w:rPr>
              <w:t>-</w:t>
            </w:r>
            <w:r w:rsidRPr="00C86053">
              <w:rPr>
                <w:i/>
                <w:sz w:val="18"/>
              </w:rPr>
              <w:tab/>
              <w:t>A</w:t>
            </w:r>
            <w:r w:rsidRPr="00C86053">
              <w:rPr>
                <w:sz w:val="18"/>
              </w:rPr>
              <w:t xml:space="preserve"> is the number of bits in the transport block as defined in Subclause 7.2.1 [5, TS 38.212] </w:t>
            </w:r>
          </w:p>
          <w:p w14:paraId="38993AC2" w14:textId="77777777" w:rsidR="00C86053" w:rsidRPr="00C86053" w:rsidRDefault="00C86053" w:rsidP="00C86053">
            <w:pPr>
              <w:pStyle w:val="B2"/>
              <w:spacing w:after="0"/>
              <w:rPr>
                <w:sz w:val="18"/>
              </w:rPr>
            </w:pPr>
            <w:r w:rsidRPr="00C86053">
              <w:rPr>
                <w:i/>
                <w:sz w:val="18"/>
              </w:rPr>
              <w:t>-</w:t>
            </w:r>
            <w:r w:rsidRPr="00C86053">
              <w:rPr>
                <w:i/>
                <w:sz w:val="18"/>
              </w:rPr>
              <w:tab/>
              <w:t>C</w:t>
            </w:r>
            <w:r w:rsidRPr="00C86053">
              <w:rPr>
                <w:sz w:val="18"/>
              </w:rPr>
              <w:t xml:space="preserve"> is the total number of code blocks for the transport block defined in Subclause 5.2.2 [5, TS 38.212]</w:t>
            </w:r>
          </w:p>
          <w:p w14:paraId="696FF15A" w14:textId="77777777" w:rsidR="00C86053" w:rsidRPr="00C86053" w:rsidRDefault="00C86053" w:rsidP="00C86053">
            <w:pPr>
              <w:pStyle w:val="B2"/>
              <w:spacing w:after="0"/>
              <w:rPr>
                <w:sz w:val="18"/>
              </w:rPr>
            </w:pPr>
            <w:r w:rsidRPr="00C86053">
              <w:rPr>
                <w:i/>
                <w:sz w:val="18"/>
              </w:rPr>
              <w:t>-</w:t>
            </w:r>
            <w:r w:rsidRPr="00C86053">
              <w:rPr>
                <w:i/>
                <w:sz w:val="18"/>
              </w:rPr>
              <w:tab/>
            </w:r>
            <m:oMath>
              <m:r>
                <w:rPr>
                  <w:rFonts w:ascii="Cambria Math" w:hAnsi="Cambria Math"/>
                  <w:sz w:val="18"/>
                  <w:lang w:eastAsia="ko-KR"/>
                </w:rPr>
                <m:t>C'</m:t>
              </m:r>
            </m:oMath>
            <w:r w:rsidRPr="00C86053">
              <w:rPr>
                <w:rFonts w:eastAsiaTheme="minorEastAsia"/>
                <w:sz w:val="18"/>
                <w:lang w:eastAsia="ko-KR"/>
              </w:rPr>
              <w:t xml:space="preserve"> </w:t>
            </w:r>
            <w:r w:rsidRPr="00C86053">
              <w:rPr>
                <w:sz w:val="18"/>
              </w:rPr>
              <w:t>is the number of scheduled code blocks for the transport block</w:t>
            </w:r>
            <w:r w:rsidRPr="00C86053">
              <w:rPr>
                <w:sz w:val="18"/>
                <w:lang w:eastAsia="ko-KR"/>
              </w:rPr>
              <w:t xml:space="preserve"> </w:t>
            </w:r>
            <w:r w:rsidRPr="00C86053">
              <w:rPr>
                <w:sz w:val="18"/>
              </w:rPr>
              <w:t xml:space="preserve">as defined in Subclause 5.4.2.1 [5, TS 38.212] </w:t>
            </w:r>
          </w:p>
          <w:p w14:paraId="32F8EA11" w14:textId="068AF17A" w:rsidR="00C86053" w:rsidRPr="00C86053" w:rsidRDefault="00C86053" w:rsidP="00C86053">
            <w:pPr>
              <w:pStyle w:val="Style1"/>
              <w:spacing w:after="0" w:afterAutospacing="0" w:line="240" w:lineRule="auto"/>
              <w:ind w:firstLine="0"/>
              <w:rPr>
                <w:sz w:val="18"/>
                <w:lang w:val="en-GB"/>
              </w:rPr>
            </w:pPr>
            <w:r w:rsidRPr="00C86053">
              <w:rPr>
                <w:sz w:val="18"/>
              </w:rPr>
              <w:t>-</w:t>
            </w:r>
            <w:r w:rsidRPr="00C86053">
              <w:rPr>
                <w:sz w:val="18"/>
              </w:rPr>
              <w:tab/>
            </w:r>
            <m:oMath>
              <m:r>
                <w:rPr>
                  <w:rFonts w:ascii="Cambria Math" w:hAnsi="Cambria Math"/>
                  <w:sz w:val="18"/>
                </w:rPr>
                <m:t>DataRateCC</m:t>
              </m:r>
            </m:oMath>
            <w:r w:rsidRPr="00C86053">
              <w:rPr>
                <w:sz w:val="18"/>
              </w:rPr>
              <w:t xml:space="preserve"> [Mbps] is computed by the approximate maximum data rate given by Subclause 4.1.2 in [13, TS 38.306] from the band/band combination signaling for the serving cell, including the scaling factor </w:t>
            </w:r>
            <w:r w:rsidRPr="00C86053">
              <w:rPr>
                <w:i/>
                <w:sz w:val="18"/>
              </w:rPr>
              <w:t>f(i).</w:t>
            </w:r>
          </w:p>
        </w:tc>
      </w:tr>
      <w:tr w:rsidR="00C86053" w14:paraId="07AE49BA" w14:textId="77777777" w:rsidTr="007458BD">
        <w:tc>
          <w:tcPr>
            <w:tcW w:w="4919" w:type="dxa"/>
            <w:tcBorders>
              <w:left w:val="nil"/>
              <w:bottom w:val="nil"/>
              <w:right w:val="nil"/>
            </w:tcBorders>
          </w:tcPr>
          <w:p w14:paraId="178B43AE" w14:textId="0FD80789" w:rsidR="00C86053" w:rsidRPr="007458BD" w:rsidRDefault="007458BD" w:rsidP="007458BD">
            <w:pPr>
              <w:pStyle w:val="Style1"/>
              <w:spacing w:after="120" w:line="240" w:lineRule="auto"/>
              <w:ind w:firstLine="0"/>
              <w:jc w:val="center"/>
              <w:rPr>
                <w:rFonts w:eastAsiaTheme="minorEastAsia"/>
                <w:lang w:val="en-GB" w:eastAsia="ko-KR"/>
              </w:rPr>
            </w:pPr>
            <w:r>
              <w:rPr>
                <w:rFonts w:eastAsiaTheme="minorEastAsia"/>
                <w:lang w:val="en-GB" w:eastAsia="ko-KR"/>
              </w:rPr>
              <w:t xml:space="preserve">(a) </w:t>
            </w:r>
            <w:r>
              <w:rPr>
                <w:rFonts w:eastAsiaTheme="minorEastAsia" w:hint="eastAsia"/>
                <w:lang w:val="en-GB" w:eastAsia="ko-KR"/>
              </w:rPr>
              <w:t>Restriction 1: for all transmissions</w:t>
            </w:r>
          </w:p>
        </w:tc>
        <w:tc>
          <w:tcPr>
            <w:tcW w:w="4920" w:type="dxa"/>
            <w:tcBorders>
              <w:left w:val="nil"/>
              <w:bottom w:val="nil"/>
              <w:right w:val="nil"/>
            </w:tcBorders>
          </w:tcPr>
          <w:p w14:paraId="54B03A02" w14:textId="0AFCF3C7" w:rsidR="00C86053" w:rsidRPr="007458BD" w:rsidRDefault="007458BD" w:rsidP="007458BD">
            <w:pPr>
              <w:pStyle w:val="Style1"/>
              <w:spacing w:after="120" w:line="240" w:lineRule="auto"/>
              <w:ind w:firstLine="0"/>
              <w:jc w:val="center"/>
              <w:rPr>
                <w:rFonts w:eastAsiaTheme="minorEastAsia"/>
                <w:lang w:val="en-GB" w:eastAsia="ko-KR"/>
              </w:rPr>
            </w:pPr>
            <w:r>
              <w:rPr>
                <w:rFonts w:eastAsiaTheme="minorEastAsia" w:hint="eastAsia"/>
                <w:lang w:val="en-GB" w:eastAsia="ko-KR"/>
              </w:rPr>
              <w:t>(b) Restriction 2: for Processing time capability#2 or for retransmissions</w:t>
            </w:r>
          </w:p>
        </w:tc>
      </w:tr>
    </w:tbl>
    <w:p w14:paraId="46602FF0" w14:textId="77777777" w:rsidR="00C86053" w:rsidRDefault="00C86053" w:rsidP="00C86053">
      <w:pPr>
        <w:pStyle w:val="Style1"/>
        <w:spacing w:after="120" w:line="360" w:lineRule="auto"/>
        <w:ind w:firstLine="0"/>
        <w:rPr>
          <w:lang w:val="en-GB"/>
        </w:rPr>
      </w:pPr>
    </w:p>
    <w:p w14:paraId="642F7DE5" w14:textId="77777777" w:rsidR="0069172B" w:rsidRDefault="00FF5351" w:rsidP="0069172B">
      <w:pPr>
        <w:pStyle w:val="Style1"/>
        <w:keepNext/>
        <w:spacing w:after="120" w:line="360" w:lineRule="auto"/>
        <w:ind w:firstLine="0"/>
        <w:jc w:val="center"/>
      </w:pPr>
      <w:r w:rsidRPr="00FF5351">
        <w:rPr>
          <w:noProof/>
          <w:lang w:eastAsia="ko-KR"/>
        </w:rPr>
        <w:lastRenderedPageBreak/>
        <w:drawing>
          <wp:inline distT="0" distB="0" distL="0" distR="0" wp14:anchorId="541B2CE4" wp14:editId="7A43966D">
            <wp:extent cx="3546281" cy="1783607"/>
            <wp:effectExtent l="0" t="0" r="0" b="0"/>
            <wp:docPr id="49"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8"/>
                    <pic:cNvPicPr>
                      <a:picLocks noChangeAspect="1"/>
                    </pic:cNvPicPr>
                  </pic:nvPicPr>
                  <pic:blipFill>
                    <a:blip r:embed="rId8"/>
                    <a:stretch>
                      <a:fillRect/>
                    </a:stretch>
                  </pic:blipFill>
                  <pic:spPr>
                    <a:xfrm>
                      <a:off x="0" y="0"/>
                      <a:ext cx="3557367" cy="1789183"/>
                    </a:xfrm>
                    <a:prstGeom prst="rect">
                      <a:avLst/>
                    </a:prstGeom>
                  </pic:spPr>
                </pic:pic>
              </a:graphicData>
            </a:graphic>
          </wp:inline>
        </w:drawing>
      </w:r>
    </w:p>
    <w:p w14:paraId="46222FB6" w14:textId="551F2DE7" w:rsidR="00C86053" w:rsidRDefault="0069172B" w:rsidP="0069172B">
      <w:pPr>
        <w:pStyle w:val="ac"/>
        <w:jc w:val="center"/>
      </w:pPr>
      <w:r>
        <w:t xml:space="preserve">Figure </w:t>
      </w:r>
      <w:r>
        <w:fldChar w:fldCharType="begin"/>
      </w:r>
      <w:r>
        <w:instrText xml:space="preserve"> SEQ Figure \* ARABIC </w:instrText>
      </w:r>
      <w:r>
        <w:fldChar w:fldCharType="separate"/>
      </w:r>
      <w:r w:rsidR="006572FD">
        <w:rPr>
          <w:noProof/>
        </w:rPr>
        <w:t>1</w:t>
      </w:r>
      <w:r>
        <w:fldChar w:fldCharType="end"/>
      </w:r>
      <w:r>
        <w:t>. Illustration of two PDSCH’s transmission within a slot</w:t>
      </w:r>
    </w:p>
    <w:p w14:paraId="68AC5166" w14:textId="1B629BD8" w:rsidR="00954BEB" w:rsidRPr="00954BEB" w:rsidRDefault="00954BEB" w:rsidP="00FF5351">
      <w:pPr>
        <w:pStyle w:val="Style1"/>
        <w:spacing w:after="120" w:line="360" w:lineRule="auto"/>
        <w:ind w:firstLine="0"/>
        <w:rPr>
          <w:rFonts w:eastAsiaTheme="minorEastAsia"/>
          <w:lang w:val="en-GB" w:eastAsia="ko-KR"/>
        </w:rPr>
      </w:pPr>
      <w:r>
        <w:rPr>
          <w:rFonts w:eastAsiaTheme="minorEastAsia" w:hint="eastAsia"/>
          <w:lang w:val="en-GB" w:eastAsia="ko-KR"/>
        </w:rPr>
        <w:t>The example of how to apply the restrictions in Table 1 is shown in Table 2 below.</w:t>
      </w:r>
      <w:r>
        <w:rPr>
          <w:rFonts w:eastAsiaTheme="minorEastAsia"/>
          <w:lang w:val="en-GB" w:eastAsia="ko-KR"/>
        </w:rPr>
        <w:t xml:space="preserve"> It can be seen the restrictions applied for initial transmission and retransmission are different.</w:t>
      </w:r>
    </w:p>
    <w:p w14:paraId="762E7DFD" w14:textId="11B2A1E7" w:rsidR="0069172B" w:rsidRDefault="0069172B" w:rsidP="0069172B">
      <w:pPr>
        <w:pStyle w:val="ac"/>
        <w:keepNext/>
      </w:pPr>
      <w:r>
        <w:t xml:space="preserve">Table </w:t>
      </w:r>
      <w:r>
        <w:fldChar w:fldCharType="begin"/>
      </w:r>
      <w:r>
        <w:instrText xml:space="preserve"> SEQ Table \* ARABIC </w:instrText>
      </w:r>
      <w:r>
        <w:fldChar w:fldCharType="separate"/>
      </w:r>
      <w:r w:rsidR="006572FD">
        <w:rPr>
          <w:noProof/>
        </w:rPr>
        <w:t>2</w:t>
      </w:r>
      <w:r>
        <w:fldChar w:fldCharType="end"/>
      </w:r>
      <w:r>
        <w:t>. Comparison of TBS with data rate in Figure 1.</w:t>
      </w:r>
    </w:p>
    <w:tbl>
      <w:tblPr>
        <w:tblStyle w:val="aff"/>
        <w:tblW w:w="0" w:type="auto"/>
        <w:tblLook w:val="04A0" w:firstRow="1" w:lastRow="0" w:firstColumn="1" w:lastColumn="0" w:noHBand="0" w:noVBand="1"/>
      </w:tblPr>
      <w:tblGrid>
        <w:gridCol w:w="4919"/>
        <w:gridCol w:w="4920"/>
      </w:tblGrid>
      <w:tr w:rsidR="0069172B" w14:paraId="46AB053B" w14:textId="77777777" w:rsidTr="00954BEB">
        <w:tc>
          <w:tcPr>
            <w:tcW w:w="4919" w:type="dxa"/>
            <w:tcBorders>
              <w:bottom w:val="single" w:sz="4" w:space="0" w:color="auto"/>
            </w:tcBorders>
            <w:vAlign w:val="center"/>
          </w:tcPr>
          <w:p w14:paraId="6FA91566" w14:textId="4B158A51" w:rsidR="0069172B" w:rsidRPr="0069172B" w:rsidRDefault="001B5B35" w:rsidP="00954BEB">
            <w:pPr>
              <w:pStyle w:val="Style1"/>
              <w:spacing w:after="0" w:afterAutospacing="0" w:line="240" w:lineRule="auto"/>
              <w:ind w:firstLine="0"/>
              <w:jc w:val="center"/>
              <w:rPr>
                <w:lang w:val="en-GB"/>
              </w:rPr>
            </w:pPr>
            <m:oMathPara>
              <m:oMath>
                <m:f>
                  <m:fPr>
                    <m:ctrlPr>
                      <w:rPr>
                        <w:rFonts w:ascii="Cambria Math" w:hAnsi="Cambria Math"/>
                        <w:lang w:val="en-GB"/>
                      </w:rPr>
                    </m:ctrlPr>
                  </m:fPr>
                  <m:num>
                    <m:sSub>
                      <m:sSubPr>
                        <m:ctrlPr>
                          <w:rPr>
                            <w:rFonts w:ascii="Cambria Math" w:hAnsi="Cambria Math"/>
                            <w:i/>
                            <w:lang w:val="en-GB"/>
                          </w:rPr>
                        </m:ctrlPr>
                      </m:sSubPr>
                      <m:e>
                        <m:r>
                          <w:rPr>
                            <w:rFonts w:ascii="Cambria Math" w:hAnsi="Cambria Math"/>
                            <w:lang w:val="en-GB"/>
                          </w:rPr>
                          <m:t>TBS</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TBS</m:t>
                        </m:r>
                      </m:e>
                      <m:sub>
                        <m:r>
                          <w:rPr>
                            <w:rFonts w:ascii="Cambria Math" w:hAnsi="Cambria Math"/>
                            <w:lang w:val="en-GB"/>
                          </w:rPr>
                          <m:t>2</m:t>
                        </m:r>
                      </m:sub>
                    </m:sSub>
                  </m:num>
                  <m:den>
                    <m:sSubSup>
                      <m:sSubSupPr>
                        <m:ctrlPr>
                          <w:rPr>
                            <w:rFonts w:ascii="Cambria Math" w:hAnsi="Cambria Math"/>
                            <w:i/>
                            <w:iCs/>
                          </w:rPr>
                        </m:ctrlPr>
                      </m:sSubSupPr>
                      <m:e>
                        <m:r>
                          <w:rPr>
                            <w:rFonts w:ascii="Cambria Math" w:hAnsi="Cambria Math"/>
                          </w:rPr>
                          <m:t>T</m:t>
                        </m:r>
                      </m:e>
                      <m:sub>
                        <m:r>
                          <w:rPr>
                            <w:rFonts w:ascii="Cambria Math" w:hAnsi="Cambria Math"/>
                          </w:rPr>
                          <m:t>slot</m:t>
                        </m:r>
                      </m:sub>
                      <m:sup>
                        <m:r>
                          <w:rPr>
                            <w:rFonts w:ascii="Cambria Math" w:hAnsi="Cambria Math"/>
                          </w:rPr>
                          <m:t>μ</m:t>
                        </m:r>
                      </m:sup>
                    </m:sSubSup>
                  </m:den>
                </m:f>
                <m:r>
                  <m:rPr>
                    <m:sty m:val="p"/>
                  </m:rPr>
                  <w:rPr>
                    <w:rFonts w:ascii="Cambria Math" w:eastAsiaTheme="minorEastAsia" w:hAnsi="Cambria Math"/>
                    <w:lang w:val="en-GB"/>
                  </w:rPr>
                  <m:t>≤DataRate</m:t>
                </m:r>
              </m:oMath>
            </m:oMathPara>
          </w:p>
        </w:tc>
        <w:tc>
          <w:tcPr>
            <w:tcW w:w="4920" w:type="dxa"/>
            <w:tcBorders>
              <w:bottom w:val="single" w:sz="4" w:space="0" w:color="auto"/>
            </w:tcBorders>
            <w:vAlign w:val="center"/>
          </w:tcPr>
          <w:p w14:paraId="1979B032" w14:textId="77777777" w:rsidR="0069172B" w:rsidRPr="00954BEB" w:rsidRDefault="001B5B35" w:rsidP="00954BEB">
            <w:pPr>
              <w:pStyle w:val="Style1"/>
              <w:spacing w:after="0" w:afterAutospacing="0" w:line="240" w:lineRule="auto"/>
              <w:ind w:firstLine="0"/>
              <w:jc w:val="center"/>
              <w:rPr>
                <w:lang w:val="en-GB"/>
              </w:rPr>
            </w:pPr>
            <m:oMathPara>
              <m:oMath>
                <m:f>
                  <m:fPr>
                    <m:ctrlPr>
                      <w:rPr>
                        <w:rFonts w:ascii="Cambria Math" w:hAnsi="Cambria Math"/>
                        <w:lang w:val="en-GB"/>
                      </w:rPr>
                    </m:ctrlPr>
                  </m:fPr>
                  <m:num>
                    <m:sSub>
                      <m:sSubPr>
                        <m:ctrlPr>
                          <w:rPr>
                            <w:rFonts w:ascii="Cambria Math" w:hAnsi="Cambria Math"/>
                            <w:i/>
                            <w:lang w:val="en-GB"/>
                          </w:rPr>
                        </m:ctrlPr>
                      </m:sSubPr>
                      <m:e>
                        <m:r>
                          <w:rPr>
                            <w:rFonts w:ascii="Cambria Math" w:hAnsi="Cambria Math"/>
                            <w:lang w:val="en-GB"/>
                          </w:rPr>
                          <m:t>TBS</m:t>
                        </m:r>
                      </m:e>
                      <m:sub>
                        <m:r>
                          <w:rPr>
                            <w:rFonts w:ascii="Cambria Math" w:hAnsi="Cambria Math"/>
                            <w:lang w:val="en-GB"/>
                          </w:rPr>
                          <m:t>1</m:t>
                        </m:r>
                      </m:sub>
                    </m:sSub>
                  </m:num>
                  <m:den>
                    <m:sSub>
                      <m:sSubPr>
                        <m:ctrlPr>
                          <w:rPr>
                            <w:rFonts w:ascii="Cambria Math" w:hAnsi="Cambria Math"/>
                            <w:i/>
                            <w:iCs/>
                          </w:rPr>
                        </m:ctrlPr>
                      </m:sSubPr>
                      <m:e>
                        <m:r>
                          <w:rPr>
                            <w:rFonts w:ascii="Cambria Math" w:hAnsi="Cambria Math"/>
                          </w:rPr>
                          <m:t>L</m:t>
                        </m:r>
                      </m:e>
                      <m:sub>
                        <m:r>
                          <w:rPr>
                            <w:rFonts w:ascii="Cambria Math" w:hAnsi="Cambria Math"/>
                          </w:rPr>
                          <m:t>1</m:t>
                        </m:r>
                      </m:sub>
                    </m:sSub>
                  </m:den>
                </m:f>
                <m:r>
                  <m:rPr>
                    <m:sty m:val="p"/>
                  </m:rPr>
                  <w:rPr>
                    <w:rFonts w:ascii="Cambria Math" w:eastAsiaTheme="minorEastAsia" w:hAnsi="Cambria Math"/>
                    <w:lang w:val="en-GB"/>
                  </w:rPr>
                  <m:t>≤DataRateCC</m:t>
                </m:r>
              </m:oMath>
            </m:oMathPara>
          </w:p>
          <w:p w14:paraId="44D551AC" w14:textId="553479F3" w:rsidR="00954BEB" w:rsidRPr="0069172B" w:rsidRDefault="001B5B35" w:rsidP="00954BEB">
            <w:pPr>
              <w:pStyle w:val="Style1"/>
              <w:spacing w:after="0" w:afterAutospacing="0" w:line="240" w:lineRule="auto"/>
              <w:ind w:firstLine="0"/>
              <w:jc w:val="center"/>
              <w:rPr>
                <w:lang w:val="en-GB"/>
              </w:rPr>
            </w:pPr>
            <m:oMathPara>
              <m:oMath>
                <m:f>
                  <m:fPr>
                    <m:ctrlPr>
                      <w:rPr>
                        <w:rFonts w:ascii="Cambria Math" w:hAnsi="Cambria Math"/>
                        <w:lang w:val="en-GB"/>
                      </w:rPr>
                    </m:ctrlPr>
                  </m:fPr>
                  <m:num>
                    <m:sSub>
                      <m:sSubPr>
                        <m:ctrlPr>
                          <w:rPr>
                            <w:rFonts w:ascii="Cambria Math" w:hAnsi="Cambria Math"/>
                            <w:i/>
                            <w:lang w:val="en-GB"/>
                          </w:rPr>
                        </m:ctrlPr>
                      </m:sSubPr>
                      <m:e>
                        <m:r>
                          <w:rPr>
                            <w:rFonts w:ascii="Cambria Math" w:hAnsi="Cambria Math"/>
                            <w:lang w:val="en-GB"/>
                          </w:rPr>
                          <m:t>TBS</m:t>
                        </m:r>
                      </m:e>
                      <m:sub>
                        <m:r>
                          <w:rPr>
                            <w:rFonts w:ascii="Cambria Math" w:hAnsi="Cambria Math"/>
                            <w:lang w:val="en-GB"/>
                          </w:rPr>
                          <m:t>2</m:t>
                        </m:r>
                      </m:sub>
                    </m:sSub>
                  </m:num>
                  <m:den>
                    <m:sSub>
                      <m:sSubPr>
                        <m:ctrlPr>
                          <w:rPr>
                            <w:rFonts w:ascii="Cambria Math" w:hAnsi="Cambria Math"/>
                            <w:i/>
                            <w:iCs/>
                          </w:rPr>
                        </m:ctrlPr>
                      </m:sSubPr>
                      <m:e>
                        <m:r>
                          <w:rPr>
                            <w:rFonts w:ascii="Cambria Math" w:hAnsi="Cambria Math"/>
                          </w:rPr>
                          <m:t>L</m:t>
                        </m:r>
                      </m:e>
                      <m:sub>
                        <m:r>
                          <w:rPr>
                            <w:rFonts w:ascii="Cambria Math" w:hAnsi="Cambria Math"/>
                          </w:rPr>
                          <m:t>2</m:t>
                        </m:r>
                      </m:sub>
                    </m:sSub>
                  </m:den>
                </m:f>
                <m:r>
                  <m:rPr>
                    <m:sty m:val="p"/>
                  </m:rPr>
                  <w:rPr>
                    <w:rFonts w:ascii="Cambria Math" w:eastAsiaTheme="minorEastAsia" w:hAnsi="Cambria Math"/>
                    <w:lang w:val="en-GB"/>
                  </w:rPr>
                  <m:t>≤DataRateCC</m:t>
                </m:r>
              </m:oMath>
            </m:oMathPara>
          </w:p>
        </w:tc>
      </w:tr>
      <w:tr w:rsidR="0069172B" w14:paraId="55248052" w14:textId="77777777" w:rsidTr="00140A98">
        <w:tc>
          <w:tcPr>
            <w:tcW w:w="4919" w:type="dxa"/>
            <w:tcBorders>
              <w:left w:val="nil"/>
              <w:bottom w:val="nil"/>
              <w:right w:val="nil"/>
            </w:tcBorders>
          </w:tcPr>
          <w:p w14:paraId="29F488CB" w14:textId="77777777" w:rsidR="0069172B" w:rsidRPr="007458BD" w:rsidRDefault="0069172B" w:rsidP="00140A98">
            <w:pPr>
              <w:pStyle w:val="Style1"/>
              <w:spacing w:after="120" w:line="240" w:lineRule="auto"/>
              <w:ind w:firstLine="0"/>
              <w:jc w:val="center"/>
              <w:rPr>
                <w:rFonts w:eastAsiaTheme="minorEastAsia"/>
                <w:lang w:val="en-GB" w:eastAsia="ko-KR"/>
              </w:rPr>
            </w:pPr>
            <w:r>
              <w:rPr>
                <w:rFonts w:eastAsiaTheme="minorEastAsia"/>
                <w:lang w:val="en-GB" w:eastAsia="ko-KR"/>
              </w:rPr>
              <w:t xml:space="preserve">(a) </w:t>
            </w:r>
            <w:r>
              <w:rPr>
                <w:rFonts w:eastAsiaTheme="minorEastAsia" w:hint="eastAsia"/>
                <w:lang w:val="en-GB" w:eastAsia="ko-KR"/>
              </w:rPr>
              <w:t>Restriction 1: for all transmissions</w:t>
            </w:r>
          </w:p>
        </w:tc>
        <w:tc>
          <w:tcPr>
            <w:tcW w:w="4920" w:type="dxa"/>
            <w:tcBorders>
              <w:left w:val="nil"/>
              <w:bottom w:val="nil"/>
              <w:right w:val="nil"/>
            </w:tcBorders>
          </w:tcPr>
          <w:p w14:paraId="25309DDA" w14:textId="77777777" w:rsidR="0069172B" w:rsidRPr="007458BD" w:rsidRDefault="0069172B" w:rsidP="00140A98">
            <w:pPr>
              <w:pStyle w:val="Style1"/>
              <w:spacing w:after="120" w:line="240" w:lineRule="auto"/>
              <w:ind w:firstLine="0"/>
              <w:jc w:val="center"/>
              <w:rPr>
                <w:rFonts w:eastAsiaTheme="minorEastAsia"/>
                <w:lang w:val="en-GB" w:eastAsia="ko-KR"/>
              </w:rPr>
            </w:pPr>
            <w:r>
              <w:rPr>
                <w:rFonts w:eastAsiaTheme="minorEastAsia" w:hint="eastAsia"/>
                <w:lang w:val="en-GB" w:eastAsia="ko-KR"/>
              </w:rPr>
              <w:t>(b) Restriction 2: for Processing time capability#2 or for retransmissions</w:t>
            </w:r>
          </w:p>
        </w:tc>
      </w:tr>
    </w:tbl>
    <w:p w14:paraId="53BCBACB" w14:textId="1D7E66BE" w:rsidR="0069172B" w:rsidRDefault="0069172B" w:rsidP="00FF5351">
      <w:pPr>
        <w:pStyle w:val="Style1"/>
        <w:spacing w:after="120" w:line="360" w:lineRule="auto"/>
        <w:ind w:firstLine="0"/>
        <w:rPr>
          <w:lang w:val="en-GB"/>
        </w:rPr>
      </w:pPr>
    </w:p>
    <w:p w14:paraId="1538437E" w14:textId="39DAC1EE" w:rsidR="00140A98" w:rsidRPr="00140A98" w:rsidRDefault="00140A98" w:rsidP="00FF5351">
      <w:pPr>
        <w:pStyle w:val="Style1"/>
        <w:spacing w:after="120" w:line="360" w:lineRule="auto"/>
        <w:ind w:firstLine="0"/>
        <w:rPr>
          <w:rFonts w:eastAsiaTheme="minorEastAsia"/>
          <w:lang w:val="en-GB" w:eastAsia="ko-KR"/>
        </w:rPr>
      </w:pPr>
      <w:r>
        <w:rPr>
          <w:rFonts w:eastAsiaTheme="minorEastAsia" w:hint="eastAsia"/>
          <w:lang w:val="en-GB" w:eastAsia="ko-KR"/>
        </w:rPr>
        <w:t xml:space="preserve">The example of the number of symbols used for initial transmission and retransmission is shown in Figure 2. </w:t>
      </w:r>
    </w:p>
    <w:p w14:paraId="26E7677D" w14:textId="77777777" w:rsidR="00954BEB" w:rsidRDefault="00954BEB" w:rsidP="00140A98">
      <w:pPr>
        <w:pStyle w:val="Style1"/>
        <w:keepNext/>
        <w:spacing w:after="120" w:line="360" w:lineRule="auto"/>
        <w:ind w:firstLine="0"/>
        <w:jc w:val="center"/>
      </w:pPr>
      <w:r>
        <w:rPr>
          <w:noProof/>
          <w:lang w:eastAsia="ko-KR"/>
        </w:rPr>
        <w:drawing>
          <wp:inline distT="0" distB="0" distL="0" distR="0" wp14:anchorId="326567FA" wp14:editId="4C1F4A85">
            <wp:extent cx="3828554" cy="3111500"/>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2469" cy="3114682"/>
                    </a:xfrm>
                    <a:prstGeom prst="rect">
                      <a:avLst/>
                    </a:prstGeom>
                    <a:noFill/>
                  </pic:spPr>
                </pic:pic>
              </a:graphicData>
            </a:graphic>
          </wp:inline>
        </w:drawing>
      </w:r>
    </w:p>
    <w:p w14:paraId="707056AF" w14:textId="34BA1DC4" w:rsidR="0069172B" w:rsidRDefault="00954BEB" w:rsidP="00140A98">
      <w:pPr>
        <w:pStyle w:val="ac"/>
        <w:jc w:val="center"/>
      </w:pPr>
      <w:bookmarkStart w:id="5" w:name="_Ref937749"/>
      <w:r>
        <w:t xml:space="preserve">Figure </w:t>
      </w:r>
      <w:r>
        <w:fldChar w:fldCharType="begin"/>
      </w:r>
      <w:r>
        <w:instrText xml:space="preserve"> SEQ Figure \* ARABIC </w:instrText>
      </w:r>
      <w:r>
        <w:fldChar w:fldCharType="separate"/>
      </w:r>
      <w:r w:rsidR="006572FD">
        <w:rPr>
          <w:noProof/>
        </w:rPr>
        <w:t>2</w:t>
      </w:r>
      <w:r>
        <w:fldChar w:fldCharType="end"/>
      </w:r>
      <w:bookmarkEnd w:id="5"/>
      <w:r>
        <w:t xml:space="preserve">. Examples of </w:t>
      </w:r>
      <w:r w:rsidR="00140A98">
        <w:t>initial transmission and retransmission</w:t>
      </w:r>
    </w:p>
    <w:p w14:paraId="4D85B140" w14:textId="615B062E" w:rsidR="00C20E79" w:rsidRDefault="000C74EB" w:rsidP="00C20E79">
      <w:pPr>
        <w:pStyle w:val="Style1"/>
        <w:spacing w:after="120" w:line="360" w:lineRule="auto"/>
        <w:ind w:firstLine="0"/>
        <w:rPr>
          <w:rFonts w:eastAsiaTheme="minorEastAsia"/>
          <w:lang w:val="en-GB" w:eastAsia="ko-KR"/>
        </w:rPr>
      </w:pPr>
      <w:r>
        <w:rPr>
          <w:rFonts w:eastAsiaTheme="minorEastAsia" w:hint="eastAsia"/>
          <w:lang w:val="en-GB" w:eastAsia="ko-KR"/>
        </w:rPr>
        <w:t xml:space="preserve">For </w:t>
      </w:r>
      <w:r>
        <w:rPr>
          <w:rFonts w:eastAsiaTheme="minorEastAsia"/>
          <w:lang w:val="en-GB" w:eastAsia="ko-KR"/>
        </w:rPr>
        <w:fldChar w:fldCharType="begin"/>
      </w:r>
      <w:r>
        <w:rPr>
          <w:rFonts w:eastAsiaTheme="minorEastAsia"/>
          <w:lang w:val="en-GB" w:eastAsia="ko-KR"/>
        </w:rPr>
        <w:instrText xml:space="preserve"> </w:instrText>
      </w:r>
      <w:r>
        <w:rPr>
          <w:rFonts w:eastAsiaTheme="minorEastAsia" w:hint="eastAsia"/>
          <w:lang w:val="en-GB" w:eastAsia="ko-KR"/>
        </w:rPr>
        <w:instrText>REF _Ref937749 \h</w:instrText>
      </w:r>
      <w:r>
        <w:rPr>
          <w:rFonts w:eastAsiaTheme="minorEastAsia"/>
          <w:lang w:val="en-GB" w:eastAsia="ko-KR"/>
        </w:rPr>
        <w:instrText xml:space="preserve"> </w:instrText>
      </w:r>
      <w:r>
        <w:rPr>
          <w:rFonts w:eastAsiaTheme="minorEastAsia"/>
          <w:lang w:val="en-GB" w:eastAsia="ko-KR"/>
        </w:rPr>
      </w:r>
      <w:r>
        <w:rPr>
          <w:rFonts w:eastAsiaTheme="minorEastAsia"/>
          <w:lang w:val="en-GB" w:eastAsia="ko-KR"/>
        </w:rPr>
        <w:fldChar w:fldCharType="separate"/>
      </w:r>
      <w:r w:rsidR="006572FD">
        <w:t xml:space="preserve">Figure </w:t>
      </w:r>
      <w:r w:rsidR="006572FD">
        <w:rPr>
          <w:noProof/>
        </w:rPr>
        <w:t>2</w:t>
      </w:r>
      <w:r>
        <w:rPr>
          <w:rFonts w:eastAsiaTheme="minorEastAsia"/>
          <w:lang w:val="en-GB" w:eastAsia="ko-KR"/>
        </w:rPr>
        <w:fldChar w:fldCharType="end"/>
      </w:r>
      <w:r>
        <w:rPr>
          <w:rFonts w:eastAsiaTheme="minorEastAsia"/>
          <w:lang w:val="en-GB" w:eastAsia="ko-KR"/>
        </w:rPr>
        <w:t>-(a), the instantaneous data rates for initial transmission and retransmission can be calculated as TBS</w:t>
      </w:r>
      <w:r w:rsidRPr="000C74EB">
        <w:rPr>
          <w:rFonts w:eastAsiaTheme="minorEastAsia"/>
          <w:vertAlign w:val="subscript"/>
          <w:lang w:val="en-GB" w:eastAsia="ko-KR"/>
        </w:rPr>
        <w:t>1</w:t>
      </w:r>
      <w:r>
        <w:rPr>
          <w:rFonts w:eastAsiaTheme="minorEastAsia"/>
          <w:lang w:val="en-GB" w:eastAsia="ko-KR"/>
        </w:rPr>
        <w:t>/</w:t>
      </w:r>
      <w:r w:rsidR="00C20E79">
        <w:rPr>
          <w:rFonts w:eastAsiaTheme="minorEastAsia"/>
          <w:lang w:val="en-GB" w:eastAsia="ko-KR"/>
        </w:rPr>
        <w:t>T</w:t>
      </w:r>
      <w:r w:rsidR="00C20E79">
        <w:rPr>
          <w:rFonts w:eastAsiaTheme="minorEastAsia"/>
          <w:vertAlign w:val="subscript"/>
          <w:lang w:val="en-GB" w:eastAsia="ko-KR"/>
        </w:rPr>
        <w:t>slot</w:t>
      </w:r>
      <w:r>
        <w:rPr>
          <w:rFonts w:eastAsiaTheme="minorEastAsia"/>
          <w:lang w:val="en-GB" w:eastAsia="ko-KR"/>
        </w:rPr>
        <w:t xml:space="preserve"> and TBS</w:t>
      </w:r>
      <w:r w:rsidRPr="000C74EB">
        <w:rPr>
          <w:rFonts w:eastAsiaTheme="minorEastAsia"/>
          <w:vertAlign w:val="subscript"/>
          <w:lang w:val="en-GB" w:eastAsia="ko-KR"/>
        </w:rPr>
        <w:t>1</w:t>
      </w:r>
      <w:r>
        <w:rPr>
          <w:rFonts w:eastAsiaTheme="minorEastAsia"/>
          <w:lang w:val="en-GB" w:eastAsia="ko-KR"/>
        </w:rPr>
        <w:t>/L</w:t>
      </w:r>
      <w:r>
        <w:rPr>
          <w:rFonts w:eastAsiaTheme="minorEastAsia"/>
          <w:vertAlign w:val="subscript"/>
          <w:lang w:val="en-GB" w:eastAsia="ko-KR"/>
        </w:rPr>
        <w:t>2</w:t>
      </w:r>
      <w:r>
        <w:rPr>
          <w:rFonts w:eastAsiaTheme="minorEastAsia"/>
          <w:lang w:val="en-GB" w:eastAsia="ko-KR"/>
        </w:rPr>
        <w:t>, respectively.</w:t>
      </w:r>
      <w:r w:rsidR="00C20E79">
        <w:rPr>
          <w:rFonts w:eastAsiaTheme="minorEastAsia"/>
          <w:lang w:val="en-GB" w:eastAsia="ko-KR"/>
        </w:rPr>
        <w:t xml:space="preserve"> </w:t>
      </w:r>
      <w:r w:rsidR="00C20E79">
        <w:rPr>
          <w:rFonts w:eastAsiaTheme="minorEastAsia" w:hint="eastAsia"/>
          <w:lang w:val="en-GB" w:eastAsia="ko-KR"/>
        </w:rPr>
        <w:t xml:space="preserve">For </w:t>
      </w:r>
      <w:r w:rsidR="00C20E79">
        <w:rPr>
          <w:rFonts w:eastAsiaTheme="minorEastAsia"/>
          <w:lang w:val="en-GB" w:eastAsia="ko-KR"/>
        </w:rPr>
        <w:fldChar w:fldCharType="begin"/>
      </w:r>
      <w:r w:rsidR="00C20E79">
        <w:rPr>
          <w:rFonts w:eastAsiaTheme="minorEastAsia"/>
          <w:lang w:val="en-GB" w:eastAsia="ko-KR"/>
        </w:rPr>
        <w:instrText xml:space="preserve"> </w:instrText>
      </w:r>
      <w:r w:rsidR="00C20E79">
        <w:rPr>
          <w:rFonts w:eastAsiaTheme="minorEastAsia" w:hint="eastAsia"/>
          <w:lang w:val="en-GB" w:eastAsia="ko-KR"/>
        </w:rPr>
        <w:instrText>REF _Ref937749 \h</w:instrText>
      </w:r>
      <w:r w:rsidR="00C20E79">
        <w:rPr>
          <w:rFonts w:eastAsiaTheme="minorEastAsia"/>
          <w:lang w:val="en-GB" w:eastAsia="ko-KR"/>
        </w:rPr>
        <w:instrText xml:space="preserve"> </w:instrText>
      </w:r>
      <w:r w:rsidR="00C20E79">
        <w:rPr>
          <w:rFonts w:eastAsiaTheme="minorEastAsia"/>
          <w:lang w:val="en-GB" w:eastAsia="ko-KR"/>
        </w:rPr>
      </w:r>
      <w:r w:rsidR="00C20E79">
        <w:rPr>
          <w:rFonts w:eastAsiaTheme="minorEastAsia"/>
          <w:lang w:val="en-GB" w:eastAsia="ko-KR"/>
        </w:rPr>
        <w:fldChar w:fldCharType="separate"/>
      </w:r>
      <w:r w:rsidR="006572FD">
        <w:t xml:space="preserve">Figure </w:t>
      </w:r>
      <w:r w:rsidR="006572FD">
        <w:rPr>
          <w:noProof/>
        </w:rPr>
        <w:t>2</w:t>
      </w:r>
      <w:r w:rsidR="00C20E79">
        <w:rPr>
          <w:rFonts w:eastAsiaTheme="minorEastAsia"/>
          <w:lang w:val="en-GB" w:eastAsia="ko-KR"/>
        </w:rPr>
        <w:fldChar w:fldCharType="end"/>
      </w:r>
      <w:r w:rsidR="00C20E79">
        <w:rPr>
          <w:rFonts w:eastAsiaTheme="minorEastAsia"/>
          <w:lang w:val="en-GB" w:eastAsia="ko-KR"/>
        </w:rPr>
        <w:t>-(b), the instantaneous data rates for initial transmission and retransmission can be calculated as TBS</w:t>
      </w:r>
      <w:r w:rsidR="00C20E79" w:rsidRPr="000C74EB">
        <w:rPr>
          <w:rFonts w:eastAsiaTheme="minorEastAsia"/>
          <w:vertAlign w:val="subscript"/>
          <w:lang w:val="en-GB" w:eastAsia="ko-KR"/>
        </w:rPr>
        <w:t>1</w:t>
      </w:r>
      <w:r w:rsidR="00C20E79">
        <w:rPr>
          <w:rFonts w:eastAsiaTheme="minorEastAsia"/>
          <w:lang w:val="en-GB" w:eastAsia="ko-KR"/>
        </w:rPr>
        <w:t>/T</w:t>
      </w:r>
      <w:r w:rsidR="00C20E79">
        <w:rPr>
          <w:rFonts w:eastAsiaTheme="minorEastAsia"/>
          <w:vertAlign w:val="subscript"/>
          <w:lang w:val="en-GB" w:eastAsia="ko-KR"/>
        </w:rPr>
        <w:t>slot</w:t>
      </w:r>
      <w:r w:rsidR="00C20E79">
        <w:rPr>
          <w:rFonts w:eastAsiaTheme="minorEastAsia"/>
          <w:lang w:val="en-GB" w:eastAsia="ko-KR"/>
        </w:rPr>
        <w:t xml:space="preserve"> and TBS</w:t>
      </w:r>
      <w:r w:rsidR="00C20E79" w:rsidRPr="000C74EB">
        <w:rPr>
          <w:rFonts w:eastAsiaTheme="minorEastAsia"/>
          <w:vertAlign w:val="subscript"/>
          <w:lang w:val="en-GB" w:eastAsia="ko-KR"/>
        </w:rPr>
        <w:t>1</w:t>
      </w:r>
      <w:r w:rsidR="00C20E79">
        <w:rPr>
          <w:rFonts w:eastAsiaTheme="minorEastAsia"/>
          <w:lang w:val="en-GB" w:eastAsia="ko-KR"/>
        </w:rPr>
        <w:t>/L</w:t>
      </w:r>
      <w:r w:rsidR="00C20E79">
        <w:rPr>
          <w:rFonts w:eastAsiaTheme="minorEastAsia"/>
          <w:vertAlign w:val="subscript"/>
          <w:lang w:val="en-GB" w:eastAsia="ko-KR"/>
        </w:rPr>
        <w:t>1</w:t>
      </w:r>
      <w:r w:rsidR="00C20E79">
        <w:rPr>
          <w:rFonts w:eastAsiaTheme="minorEastAsia"/>
          <w:lang w:val="en-GB" w:eastAsia="ko-KR"/>
        </w:rPr>
        <w:t xml:space="preserve">, respectively. </w:t>
      </w:r>
      <w:r w:rsidR="000A7F7C">
        <w:rPr>
          <w:rFonts w:eastAsiaTheme="minorEastAsia"/>
          <w:lang w:val="en-GB" w:eastAsia="ko-KR"/>
        </w:rPr>
        <w:t>When TBS</w:t>
      </w:r>
      <w:r w:rsidR="000A7F7C" w:rsidRPr="00EF0B0D">
        <w:rPr>
          <w:rFonts w:eastAsiaTheme="minorEastAsia"/>
          <w:vertAlign w:val="subscript"/>
          <w:lang w:val="en-GB" w:eastAsia="ko-KR"/>
        </w:rPr>
        <w:t>1</w:t>
      </w:r>
      <w:r w:rsidR="000A7F7C">
        <w:rPr>
          <w:rFonts w:eastAsiaTheme="minorEastAsia"/>
          <w:lang w:val="en-GB" w:eastAsia="ko-KR"/>
        </w:rPr>
        <w:t xml:space="preserve"> is scheduled with high MCS for initial transmission, then the retransmission of the same TB may not be scheduled as </w:t>
      </w:r>
      <w:r w:rsidR="000A7F7C">
        <w:rPr>
          <w:rFonts w:eastAsiaTheme="minorEastAsia"/>
          <w:lang w:val="en-GB" w:eastAsia="ko-KR"/>
        </w:rPr>
        <w:fldChar w:fldCharType="begin"/>
      </w:r>
      <w:r w:rsidR="000A7F7C">
        <w:rPr>
          <w:rFonts w:eastAsiaTheme="minorEastAsia"/>
          <w:lang w:val="en-GB" w:eastAsia="ko-KR"/>
        </w:rPr>
        <w:instrText xml:space="preserve"> REF _Ref937749 \h </w:instrText>
      </w:r>
      <w:r w:rsidR="000A7F7C">
        <w:rPr>
          <w:rFonts w:eastAsiaTheme="minorEastAsia"/>
          <w:lang w:val="en-GB" w:eastAsia="ko-KR"/>
        </w:rPr>
      </w:r>
      <w:r w:rsidR="000A7F7C">
        <w:rPr>
          <w:rFonts w:eastAsiaTheme="minorEastAsia"/>
          <w:lang w:val="en-GB" w:eastAsia="ko-KR"/>
        </w:rPr>
        <w:fldChar w:fldCharType="separate"/>
      </w:r>
      <w:r w:rsidR="006572FD">
        <w:t xml:space="preserve">Figure </w:t>
      </w:r>
      <w:r w:rsidR="006572FD">
        <w:rPr>
          <w:noProof/>
        </w:rPr>
        <w:t>2</w:t>
      </w:r>
      <w:r w:rsidR="000A7F7C">
        <w:rPr>
          <w:rFonts w:eastAsiaTheme="minorEastAsia"/>
          <w:lang w:val="en-GB" w:eastAsia="ko-KR"/>
        </w:rPr>
        <w:fldChar w:fldCharType="end"/>
      </w:r>
      <w:r w:rsidR="000A7F7C">
        <w:rPr>
          <w:rFonts w:eastAsiaTheme="minorEastAsia"/>
          <w:lang w:val="en-GB" w:eastAsia="ko-KR"/>
        </w:rPr>
        <w:t xml:space="preserve">. </w:t>
      </w:r>
    </w:p>
    <w:p w14:paraId="461BD3CD" w14:textId="183522DE" w:rsidR="0069172B" w:rsidRPr="00C20E79" w:rsidRDefault="0069172B" w:rsidP="00FF5351">
      <w:pPr>
        <w:pStyle w:val="Style1"/>
        <w:spacing w:after="120" w:line="360" w:lineRule="auto"/>
        <w:ind w:firstLine="0"/>
        <w:rPr>
          <w:rFonts w:eastAsiaTheme="minorEastAsia"/>
          <w:lang w:val="en-GB" w:eastAsia="ko-KR"/>
        </w:rPr>
      </w:pPr>
    </w:p>
    <w:p w14:paraId="065B43AA" w14:textId="2EBAEE8C" w:rsidR="0010624D" w:rsidRDefault="0010624D" w:rsidP="0010624D">
      <w:pPr>
        <w:pStyle w:val="ac"/>
        <w:keepNext/>
      </w:pPr>
      <w:bookmarkStart w:id="6" w:name="_Ref942207"/>
      <w:r>
        <w:lastRenderedPageBreak/>
        <w:t xml:space="preserve">Table </w:t>
      </w:r>
      <w:r>
        <w:fldChar w:fldCharType="begin"/>
      </w:r>
      <w:r>
        <w:instrText xml:space="preserve"> SEQ Table \* ARABIC </w:instrText>
      </w:r>
      <w:r>
        <w:fldChar w:fldCharType="separate"/>
      </w:r>
      <w:r w:rsidR="006572FD">
        <w:rPr>
          <w:noProof/>
        </w:rPr>
        <w:t>3</w:t>
      </w:r>
      <w:r>
        <w:fldChar w:fldCharType="end"/>
      </w:r>
      <w:bookmarkEnd w:id="6"/>
      <w:r>
        <w:t>. Examples of max data rate, instantaneous data rate and TBS.</w:t>
      </w:r>
    </w:p>
    <w:tbl>
      <w:tblPr>
        <w:tblStyle w:val="aff"/>
        <w:tblW w:w="0" w:type="auto"/>
        <w:tblLook w:val="04A0" w:firstRow="1" w:lastRow="0" w:firstColumn="1" w:lastColumn="0" w:noHBand="0" w:noVBand="1"/>
      </w:tblPr>
      <w:tblGrid>
        <w:gridCol w:w="4109"/>
        <w:gridCol w:w="5748"/>
      </w:tblGrid>
      <w:tr w:rsidR="00F145EE" w14:paraId="5A6E4738" w14:textId="77777777" w:rsidTr="0010624D">
        <w:tc>
          <w:tcPr>
            <w:tcW w:w="9857" w:type="dxa"/>
            <w:gridSpan w:val="2"/>
          </w:tcPr>
          <w:p w14:paraId="5436EEA6" w14:textId="0911B59F" w:rsidR="00F145EE" w:rsidRDefault="00F145EE" w:rsidP="00F145EE">
            <w:pPr>
              <w:pStyle w:val="Style1"/>
              <w:spacing w:after="120" w:line="360" w:lineRule="auto"/>
              <w:ind w:firstLine="0"/>
              <w:rPr>
                <w:rFonts w:eastAsiaTheme="minorEastAsia"/>
                <w:lang w:val="en-GB" w:eastAsia="ko-KR"/>
              </w:rPr>
            </w:pPr>
            <w:r>
              <w:rPr>
                <w:rFonts w:eastAsiaTheme="minorEastAsia" w:hint="eastAsia"/>
                <w:lang w:val="en-GB" w:eastAsia="ko-KR"/>
              </w:rPr>
              <w:t xml:space="preserve">FR1, 100 MHz BW, 30 kHz SCS, </w:t>
            </w:r>
            <w:r>
              <w:rPr>
                <w:rFonts w:eastAsiaTheme="minorEastAsia"/>
                <w:lang w:val="en-GB" w:eastAsia="ko-KR"/>
              </w:rPr>
              <w:t>4</w:t>
            </w:r>
            <w:r>
              <w:rPr>
                <w:rFonts w:eastAsiaTheme="minorEastAsia" w:hint="eastAsia"/>
                <w:lang w:val="en-GB" w:eastAsia="ko-KR"/>
              </w:rPr>
              <w:t xml:space="preserve"> layers, 64 QAM, DMRS type 1</w:t>
            </w:r>
            <w:r>
              <w:rPr>
                <w:rFonts w:eastAsiaTheme="minorEastAsia"/>
                <w:lang w:val="en-GB" w:eastAsia="ko-KR"/>
              </w:rPr>
              <w:t xml:space="preserve"> </w:t>
            </w:r>
            <w:r w:rsidRPr="00F145EE">
              <w:rPr>
                <w:rFonts w:eastAsiaTheme="minorEastAsia"/>
                <w:lang w:val="en-GB" w:eastAsia="ko-KR"/>
              </w:rPr>
              <w:sym w:font="Wingdings" w:char="F0E0"/>
            </w:r>
            <w:r>
              <w:rPr>
                <w:rFonts w:eastAsiaTheme="minorEastAsia"/>
                <w:lang w:val="en-GB" w:eastAsia="ko-KR"/>
              </w:rPr>
              <w:t xml:space="preserve"> max data rate: 1752.75 Mbps</w:t>
            </w:r>
          </w:p>
        </w:tc>
      </w:tr>
      <w:tr w:rsidR="00F145EE" w14:paraId="124092C7" w14:textId="77777777" w:rsidTr="00F849F7">
        <w:tc>
          <w:tcPr>
            <w:tcW w:w="4109" w:type="dxa"/>
            <w:shd w:val="clear" w:color="auto" w:fill="FDE9D9" w:themeFill="accent6" w:themeFillTint="33"/>
          </w:tcPr>
          <w:p w14:paraId="53AF2548" w14:textId="3B1109D1" w:rsidR="00F145EE" w:rsidRPr="00F145EE" w:rsidRDefault="00F145EE" w:rsidP="00F849F7">
            <w:pPr>
              <w:pStyle w:val="Style1"/>
              <w:spacing w:after="120" w:line="360" w:lineRule="auto"/>
              <w:ind w:firstLine="0"/>
              <w:jc w:val="center"/>
              <w:rPr>
                <w:rFonts w:eastAsiaTheme="minorEastAsia"/>
                <w:lang w:val="en-GB" w:eastAsia="ko-KR"/>
              </w:rPr>
            </w:pPr>
            <w:r>
              <w:rPr>
                <w:rFonts w:eastAsiaTheme="minorEastAsia"/>
                <w:lang w:val="en-GB" w:eastAsia="ko-KR"/>
              </w:rPr>
              <w:t>Initial transmission with 13 symbols</w:t>
            </w:r>
          </w:p>
        </w:tc>
        <w:tc>
          <w:tcPr>
            <w:tcW w:w="5748" w:type="dxa"/>
            <w:shd w:val="clear" w:color="auto" w:fill="FDE9D9" w:themeFill="accent6" w:themeFillTint="33"/>
          </w:tcPr>
          <w:p w14:paraId="01361141" w14:textId="4C950256" w:rsidR="00F145EE" w:rsidRDefault="00EF4C8F" w:rsidP="00F849F7">
            <w:pPr>
              <w:pStyle w:val="Style1"/>
              <w:spacing w:after="120" w:line="360" w:lineRule="auto"/>
              <w:ind w:firstLine="0"/>
              <w:jc w:val="center"/>
              <w:rPr>
                <w:rFonts w:eastAsiaTheme="minorEastAsia"/>
                <w:lang w:val="en-GB" w:eastAsia="ko-KR"/>
              </w:rPr>
            </w:pPr>
            <w:r>
              <w:rPr>
                <w:rFonts w:eastAsiaTheme="minorEastAsia"/>
                <w:lang w:val="en-GB" w:eastAsia="ko-KR"/>
              </w:rPr>
              <w:t>Retransmission</w:t>
            </w:r>
          </w:p>
        </w:tc>
      </w:tr>
      <w:tr w:rsidR="00F145EE" w14:paraId="1D9D378C" w14:textId="77777777" w:rsidTr="0010624D">
        <w:tc>
          <w:tcPr>
            <w:tcW w:w="4109" w:type="dxa"/>
          </w:tcPr>
          <w:tbl>
            <w:tblPr>
              <w:tblW w:w="3945" w:type="dxa"/>
              <w:jc w:val="center"/>
              <w:tblCellMar>
                <w:left w:w="99" w:type="dxa"/>
                <w:right w:w="99" w:type="dxa"/>
              </w:tblCellMar>
              <w:tblLook w:val="04A0" w:firstRow="1" w:lastRow="0" w:firstColumn="1" w:lastColumn="0" w:noHBand="0" w:noVBand="1"/>
            </w:tblPr>
            <w:tblGrid>
              <w:gridCol w:w="1063"/>
              <w:gridCol w:w="1167"/>
              <w:gridCol w:w="1653"/>
            </w:tblGrid>
            <w:tr w:rsidR="00EF4C8F" w:rsidRPr="00EF4C8F" w14:paraId="4E443155" w14:textId="77777777" w:rsidTr="00EF4C8F">
              <w:trPr>
                <w:trHeight w:val="33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415CD"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MCS</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14:paraId="7DB52C1D"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TBS</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A6A6227"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Ins. Data rate (Mbps)</w:t>
                  </w:r>
                </w:p>
              </w:tc>
            </w:tr>
            <w:tr w:rsidR="00EF4C8F" w:rsidRPr="00EF4C8F" w14:paraId="7A3FAAF7"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9256871"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20</w:t>
                  </w:r>
                </w:p>
              </w:tc>
              <w:tc>
                <w:tcPr>
                  <w:tcW w:w="1185" w:type="dxa"/>
                  <w:tcBorders>
                    <w:top w:val="nil"/>
                    <w:left w:val="nil"/>
                    <w:bottom w:val="single" w:sz="4" w:space="0" w:color="auto"/>
                    <w:right w:val="single" w:sz="4" w:space="0" w:color="auto"/>
                  </w:tcBorders>
                  <w:shd w:val="clear" w:color="auto" w:fill="auto"/>
                  <w:noWrap/>
                  <w:vAlign w:val="center"/>
                  <w:hideMark/>
                </w:tcPr>
                <w:p w14:paraId="1B24735F"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524,640 </w:t>
                  </w:r>
                </w:p>
              </w:tc>
              <w:tc>
                <w:tcPr>
                  <w:tcW w:w="1680" w:type="dxa"/>
                  <w:tcBorders>
                    <w:top w:val="nil"/>
                    <w:left w:val="nil"/>
                    <w:bottom w:val="single" w:sz="4" w:space="0" w:color="auto"/>
                    <w:right w:val="single" w:sz="4" w:space="0" w:color="auto"/>
                  </w:tcBorders>
                  <w:shd w:val="clear" w:color="auto" w:fill="auto"/>
                  <w:noWrap/>
                  <w:vAlign w:val="center"/>
                  <w:hideMark/>
                </w:tcPr>
                <w:p w14:paraId="606ABF74"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1,049.28 </w:t>
                  </w:r>
                </w:p>
              </w:tc>
            </w:tr>
            <w:tr w:rsidR="00EF4C8F" w:rsidRPr="00EF4C8F" w14:paraId="6D32654E"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78EC029"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21</w:t>
                  </w:r>
                </w:p>
              </w:tc>
              <w:tc>
                <w:tcPr>
                  <w:tcW w:w="1185" w:type="dxa"/>
                  <w:tcBorders>
                    <w:top w:val="nil"/>
                    <w:left w:val="nil"/>
                    <w:bottom w:val="single" w:sz="4" w:space="0" w:color="auto"/>
                    <w:right w:val="single" w:sz="4" w:space="0" w:color="auto"/>
                  </w:tcBorders>
                  <w:shd w:val="clear" w:color="auto" w:fill="auto"/>
                  <w:noWrap/>
                  <w:vAlign w:val="center"/>
                  <w:hideMark/>
                </w:tcPr>
                <w:p w14:paraId="3A6EDD9B"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573,504 </w:t>
                  </w:r>
                </w:p>
              </w:tc>
              <w:tc>
                <w:tcPr>
                  <w:tcW w:w="1680" w:type="dxa"/>
                  <w:tcBorders>
                    <w:top w:val="nil"/>
                    <w:left w:val="nil"/>
                    <w:bottom w:val="single" w:sz="4" w:space="0" w:color="auto"/>
                    <w:right w:val="single" w:sz="4" w:space="0" w:color="auto"/>
                  </w:tcBorders>
                  <w:shd w:val="clear" w:color="auto" w:fill="auto"/>
                  <w:noWrap/>
                  <w:vAlign w:val="center"/>
                  <w:hideMark/>
                </w:tcPr>
                <w:p w14:paraId="4A384EC3"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1,147.01 </w:t>
                  </w:r>
                </w:p>
              </w:tc>
            </w:tr>
            <w:tr w:rsidR="00EF4C8F" w:rsidRPr="00EF4C8F" w14:paraId="0F5A550B"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6552B4"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22</w:t>
                  </w:r>
                </w:p>
              </w:tc>
              <w:tc>
                <w:tcPr>
                  <w:tcW w:w="1185" w:type="dxa"/>
                  <w:tcBorders>
                    <w:top w:val="nil"/>
                    <w:left w:val="nil"/>
                    <w:bottom w:val="single" w:sz="4" w:space="0" w:color="auto"/>
                    <w:right w:val="single" w:sz="4" w:space="0" w:color="auto"/>
                  </w:tcBorders>
                  <w:shd w:val="clear" w:color="auto" w:fill="auto"/>
                  <w:noWrap/>
                  <w:vAlign w:val="center"/>
                  <w:hideMark/>
                </w:tcPr>
                <w:p w14:paraId="6722967C"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606,504 </w:t>
                  </w:r>
                </w:p>
              </w:tc>
              <w:tc>
                <w:tcPr>
                  <w:tcW w:w="1680" w:type="dxa"/>
                  <w:tcBorders>
                    <w:top w:val="nil"/>
                    <w:left w:val="nil"/>
                    <w:bottom w:val="single" w:sz="4" w:space="0" w:color="auto"/>
                    <w:right w:val="single" w:sz="4" w:space="0" w:color="auto"/>
                  </w:tcBorders>
                  <w:shd w:val="clear" w:color="auto" w:fill="auto"/>
                  <w:noWrap/>
                  <w:vAlign w:val="center"/>
                  <w:hideMark/>
                </w:tcPr>
                <w:p w14:paraId="34F3FDBF"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1,213.01 </w:t>
                  </w:r>
                </w:p>
              </w:tc>
            </w:tr>
            <w:tr w:rsidR="00EF4C8F" w:rsidRPr="00EF4C8F" w14:paraId="4C4FC51B"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7D3382"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23</w:t>
                  </w:r>
                </w:p>
              </w:tc>
              <w:tc>
                <w:tcPr>
                  <w:tcW w:w="1185" w:type="dxa"/>
                  <w:tcBorders>
                    <w:top w:val="nil"/>
                    <w:left w:val="nil"/>
                    <w:bottom w:val="single" w:sz="4" w:space="0" w:color="auto"/>
                    <w:right w:val="single" w:sz="4" w:space="0" w:color="auto"/>
                  </w:tcBorders>
                  <w:shd w:val="clear" w:color="auto" w:fill="auto"/>
                  <w:noWrap/>
                  <w:vAlign w:val="center"/>
                  <w:hideMark/>
                </w:tcPr>
                <w:p w14:paraId="392DB1A8"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655,800 </w:t>
                  </w:r>
                </w:p>
              </w:tc>
              <w:tc>
                <w:tcPr>
                  <w:tcW w:w="1680" w:type="dxa"/>
                  <w:tcBorders>
                    <w:top w:val="nil"/>
                    <w:left w:val="nil"/>
                    <w:bottom w:val="single" w:sz="4" w:space="0" w:color="auto"/>
                    <w:right w:val="single" w:sz="4" w:space="0" w:color="auto"/>
                  </w:tcBorders>
                  <w:shd w:val="clear" w:color="auto" w:fill="auto"/>
                  <w:noWrap/>
                  <w:vAlign w:val="center"/>
                  <w:hideMark/>
                </w:tcPr>
                <w:p w14:paraId="2905530C"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1,311.60 </w:t>
                  </w:r>
                </w:p>
              </w:tc>
            </w:tr>
            <w:tr w:rsidR="00EF4C8F" w:rsidRPr="00EF4C8F" w14:paraId="450F7E7C"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497D2B"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24</w:t>
                  </w:r>
                </w:p>
              </w:tc>
              <w:tc>
                <w:tcPr>
                  <w:tcW w:w="1185" w:type="dxa"/>
                  <w:tcBorders>
                    <w:top w:val="nil"/>
                    <w:left w:val="nil"/>
                    <w:bottom w:val="single" w:sz="4" w:space="0" w:color="auto"/>
                    <w:right w:val="single" w:sz="4" w:space="0" w:color="auto"/>
                  </w:tcBorders>
                  <w:shd w:val="clear" w:color="auto" w:fill="auto"/>
                  <w:noWrap/>
                  <w:vAlign w:val="center"/>
                  <w:hideMark/>
                </w:tcPr>
                <w:p w14:paraId="3D53A4BA"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704,904 </w:t>
                  </w:r>
                </w:p>
              </w:tc>
              <w:tc>
                <w:tcPr>
                  <w:tcW w:w="1680" w:type="dxa"/>
                  <w:tcBorders>
                    <w:top w:val="nil"/>
                    <w:left w:val="nil"/>
                    <w:bottom w:val="single" w:sz="4" w:space="0" w:color="auto"/>
                    <w:right w:val="single" w:sz="4" w:space="0" w:color="auto"/>
                  </w:tcBorders>
                  <w:shd w:val="clear" w:color="auto" w:fill="auto"/>
                  <w:noWrap/>
                  <w:vAlign w:val="center"/>
                  <w:hideMark/>
                </w:tcPr>
                <w:p w14:paraId="4CE33FB2"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1,409.81 </w:t>
                  </w:r>
                </w:p>
              </w:tc>
            </w:tr>
            <w:tr w:rsidR="00EF4C8F" w:rsidRPr="00EF4C8F" w14:paraId="7DEAC733"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E742752"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25</w:t>
                  </w:r>
                </w:p>
              </w:tc>
              <w:tc>
                <w:tcPr>
                  <w:tcW w:w="1185" w:type="dxa"/>
                  <w:tcBorders>
                    <w:top w:val="nil"/>
                    <w:left w:val="nil"/>
                    <w:bottom w:val="single" w:sz="4" w:space="0" w:color="auto"/>
                    <w:right w:val="single" w:sz="4" w:space="0" w:color="auto"/>
                  </w:tcBorders>
                  <w:shd w:val="clear" w:color="auto" w:fill="auto"/>
                  <w:noWrap/>
                  <w:vAlign w:val="center"/>
                  <w:hideMark/>
                </w:tcPr>
                <w:p w14:paraId="4915718B"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753,816 </w:t>
                  </w:r>
                </w:p>
              </w:tc>
              <w:tc>
                <w:tcPr>
                  <w:tcW w:w="1680" w:type="dxa"/>
                  <w:tcBorders>
                    <w:top w:val="nil"/>
                    <w:left w:val="nil"/>
                    <w:bottom w:val="single" w:sz="4" w:space="0" w:color="auto"/>
                    <w:right w:val="single" w:sz="4" w:space="0" w:color="auto"/>
                  </w:tcBorders>
                  <w:shd w:val="clear" w:color="auto" w:fill="auto"/>
                  <w:noWrap/>
                  <w:vAlign w:val="center"/>
                  <w:hideMark/>
                </w:tcPr>
                <w:p w14:paraId="56B1CBF8"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1,507.63 </w:t>
                  </w:r>
                </w:p>
              </w:tc>
            </w:tr>
            <w:tr w:rsidR="00EF4C8F" w:rsidRPr="00EF4C8F" w14:paraId="06E1FABF"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E8F520"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26</w:t>
                  </w:r>
                </w:p>
              </w:tc>
              <w:tc>
                <w:tcPr>
                  <w:tcW w:w="1185" w:type="dxa"/>
                  <w:tcBorders>
                    <w:top w:val="nil"/>
                    <w:left w:val="nil"/>
                    <w:bottom w:val="single" w:sz="4" w:space="0" w:color="auto"/>
                    <w:right w:val="single" w:sz="4" w:space="0" w:color="auto"/>
                  </w:tcBorders>
                  <w:shd w:val="clear" w:color="auto" w:fill="auto"/>
                  <w:noWrap/>
                  <w:vAlign w:val="center"/>
                  <w:hideMark/>
                </w:tcPr>
                <w:p w14:paraId="2E10A15F"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803,304 </w:t>
                  </w:r>
                </w:p>
              </w:tc>
              <w:tc>
                <w:tcPr>
                  <w:tcW w:w="1680" w:type="dxa"/>
                  <w:tcBorders>
                    <w:top w:val="nil"/>
                    <w:left w:val="nil"/>
                    <w:bottom w:val="single" w:sz="4" w:space="0" w:color="auto"/>
                    <w:right w:val="single" w:sz="4" w:space="0" w:color="auto"/>
                  </w:tcBorders>
                  <w:shd w:val="clear" w:color="auto" w:fill="auto"/>
                  <w:noWrap/>
                  <w:vAlign w:val="center"/>
                  <w:hideMark/>
                </w:tcPr>
                <w:p w14:paraId="4F0B7DB2"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1,606.61 </w:t>
                  </w:r>
                </w:p>
              </w:tc>
            </w:tr>
            <w:tr w:rsidR="00EF4C8F" w:rsidRPr="00EF4C8F" w14:paraId="5103EF5D"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65D2623"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27</w:t>
                  </w:r>
                </w:p>
              </w:tc>
              <w:tc>
                <w:tcPr>
                  <w:tcW w:w="1185" w:type="dxa"/>
                  <w:tcBorders>
                    <w:top w:val="nil"/>
                    <w:left w:val="nil"/>
                    <w:bottom w:val="single" w:sz="4" w:space="0" w:color="auto"/>
                    <w:right w:val="single" w:sz="4" w:space="0" w:color="auto"/>
                  </w:tcBorders>
                  <w:shd w:val="clear" w:color="auto" w:fill="auto"/>
                  <w:noWrap/>
                  <w:vAlign w:val="center"/>
                  <w:hideMark/>
                </w:tcPr>
                <w:p w14:paraId="5E8CE1C2"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835,976 </w:t>
                  </w:r>
                </w:p>
              </w:tc>
              <w:tc>
                <w:tcPr>
                  <w:tcW w:w="1680" w:type="dxa"/>
                  <w:tcBorders>
                    <w:top w:val="nil"/>
                    <w:left w:val="nil"/>
                    <w:bottom w:val="single" w:sz="4" w:space="0" w:color="auto"/>
                    <w:right w:val="single" w:sz="4" w:space="0" w:color="auto"/>
                  </w:tcBorders>
                  <w:shd w:val="clear" w:color="auto" w:fill="auto"/>
                  <w:noWrap/>
                  <w:vAlign w:val="center"/>
                  <w:hideMark/>
                </w:tcPr>
                <w:p w14:paraId="5DBDAF88"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1,671.95 </w:t>
                  </w:r>
                </w:p>
              </w:tc>
            </w:tr>
            <w:tr w:rsidR="00EF4C8F" w:rsidRPr="00EF4C8F" w14:paraId="0D7EE23B" w14:textId="77777777" w:rsidTr="00EF4C8F">
              <w:trPr>
                <w:trHeight w:val="33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029F66"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28</w:t>
                  </w:r>
                </w:p>
              </w:tc>
              <w:tc>
                <w:tcPr>
                  <w:tcW w:w="1185" w:type="dxa"/>
                  <w:tcBorders>
                    <w:top w:val="nil"/>
                    <w:left w:val="nil"/>
                    <w:bottom w:val="single" w:sz="4" w:space="0" w:color="auto"/>
                    <w:right w:val="single" w:sz="4" w:space="0" w:color="auto"/>
                  </w:tcBorders>
                  <w:shd w:val="clear" w:color="auto" w:fill="auto"/>
                  <w:noWrap/>
                  <w:vAlign w:val="center"/>
                  <w:hideMark/>
                </w:tcPr>
                <w:p w14:paraId="42A9D303"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868,584 </w:t>
                  </w:r>
                </w:p>
              </w:tc>
              <w:tc>
                <w:tcPr>
                  <w:tcW w:w="1680" w:type="dxa"/>
                  <w:tcBorders>
                    <w:top w:val="nil"/>
                    <w:left w:val="nil"/>
                    <w:bottom w:val="single" w:sz="4" w:space="0" w:color="auto"/>
                    <w:right w:val="single" w:sz="4" w:space="0" w:color="auto"/>
                  </w:tcBorders>
                  <w:shd w:val="clear" w:color="auto" w:fill="auto"/>
                  <w:noWrap/>
                  <w:vAlign w:val="center"/>
                  <w:hideMark/>
                </w:tcPr>
                <w:p w14:paraId="0810F475" w14:textId="77777777" w:rsidR="00EF4C8F" w:rsidRPr="00EF4C8F" w:rsidRDefault="00EF4C8F" w:rsidP="00EF4C8F">
                  <w:pPr>
                    <w:spacing w:after="0"/>
                    <w:jc w:val="center"/>
                    <w:rPr>
                      <w:rFonts w:ascii="Times" w:eastAsia="맑은 고딕" w:hAnsi="Times" w:cs="Times"/>
                      <w:color w:val="000000"/>
                      <w:sz w:val="18"/>
                      <w:szCs w:val="22"/>
                      <w:lang w:eastAsia="ko-KR"/>
                    </w:rPr>
                  </w:pPr>
                  <w:r w:rsidRPr="00EF4C8F">
                    <w:rPr>
                      <w:rFonts w:ascii="Times" w:eastAsia="맑은 고딕" w:hAnsi="Times" w:cs="Times"/>
                      <w:color w:val="000000"/>
                      <w:sz w:val="18"/>
                      <w:szCs w:val="22"/>
                      <w:lang w:eastAsia="ko-KR"/>
                    </w:rPr>
                    <w:t xml:space="preserve">        1,737.17 </w:t>
                  </w:r>
                </w:p>
              </w:tc>
            </w:tr>
          </w:tbl>
          <w:p w14:paraId="524B9D8E" w14:textId="22357354" w:rsidR="00F145EE" w:rsidRDefault="00F145EE" w:rsidP="00FF5351">
            <w:pPr>
              <w:pStyle w:val="Style1"/>
              <w:spacing w:after="120" w:line="360" w:lineRule="auto"/>
              <w:ind w:firstLine="0"/>
              <w:rPr>
                <w:rFonts w:eastAsiaTheme="minorEastAsia"/>
                <w:lang w:val="en-GB" w:eastAsia="ko-KR"/>
              </w:rPr>
            </w:pPr>
          </w:p>
        </w:tc>
        <w:tc>
          <w:tcPr>
            <w:tcW w:w="5748" w:type="dxa"/>
          </w:tcPr>
          <w:tbl>
            <w:tblPr>
              <w:tblW w:w="5622" w:type="dxa"/>
              <w:tblCellMar>
                <w:left w:w="0" w:type="dxa"/>
                <w:right w:w="28" w:type="dxa"/>
              </w:tblCellMar>
              <w:tblLook w:val="04A0" w:firstRow="1" w:lastRow="0" w:firstColumn="1" w:lastColumn="0" w:noHBand="0" w:noVBand="1"/>
            </w:tblPr>
            <w:tblGrid>
              <w:gridCol w:w="675"/>
              <w:gridCol w:w="617"/>
              <w:gridCol w:w="675"/>
              <w:gridCol w:w="644"/>
              <w:gridCol w:w="816"/>
              <w:gridCol w:w="801"/>
              <w:gridCol w:w="676"/>
              <w:gridCol w:w="618"/>
            </w:tblGrid>
            <w:tr w:rsidR="00BA5333" w:rsidRPr="00BA5333" w14:paraId="5D7A5E1A" w14:textId="77777777" w:rsidTr="00BA5333">
              <w:trPr>
                <w:trHeight w:val="330"/>
              </w:trPr>
              <w:tc>
                <w:tcPr>
                  <w:tcW w:w="13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2A8D8"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MCS 25</w:t>
                  </w:r>
                </w:p>
              </w:tc>
              <w:tc>
                <w:tcPr>
                  <w:tcW w:w="1343"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5465B3"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MCS 26</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CE47FD"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MCS 27</w:t>
                  </w:r>
                </w:p>
              </w:tc>
              <w:tc>
                <w:tcPr>
                  <w:tcW w:w="13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C8516"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MCS 28</w:t>
                  </w:r>
                </w:p>
              </w:tc>
            </w:tr>
            <w:tr w:rsidR="00BA5333" w:rsidRPr="00BA5333" w14:paraId="780A3DCB" w14:textId="77777777" w:rsidTr="00BA5333">
              <w:trPr>
                <w:trHeight w:val="33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14:paraId="3A7905BB"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num. symbols</w:t>
                  </w:r>
                </w:p>
              </w:tc>
              <w:tc>
                <w:tcPr>
                  <w:tcW w:w="628" w:type="dxa"/>
                  <w:tcBorders>
                    <w:top w:val="nil"/>
                    <w:left w:val="nil"/>
                    <w:bottom w:val="single" w:sz="4" w:space="0" w:color="auto"/>
                    <w:right w:val="single" w:sz="4" w:space="0" w:color="auto"/>
                  </w:tcBorders>
                  <w:shd w:val="clear" w:color="auto" w:fill="auto"/>
                  <w:noWrap/>
                  <w:vAlign w:val="center"/>
                  <w:hideMark/>
                </w:tcPr>
                <w:p w14:paraId="4FDD9B31"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Ins. Data rate (Mbps)</w:t>
                  </w:r>
                </w:p>
              </w:tc>
              <w:tc>
                <w:tcPr>
                  <w:tcW w:w="687" w:type="dxa"/>
                  <w:tcBorders>
                    <w:top w:val="nil"/>
                    <w:left w:val="nil"/>
                    <w:bottom w:val="single" w:sz="4" w:space="0" w:color="auto"/>
                    <w:right w:val="single" w:sz="4" w:space="0" w:color="auto"/>
                  </w:tcBorders>
                  <w:shd w:val="clear" w:color="auto" w:fill="auto"/>
                  <w:noWrap/>
                  <w:vAlign w:val="center"/>
                  <w:hideMark/>
                </w:tcPr>
                <w:p w14:paraId="039792DA"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num. symbols</w:t>
                  </w:r>
                </w:p>
              </w:tc>
              <w:tc>
                <w:tcPr>
                  <w:tcW w:w="656" w:type="dxa"/>
                  <w:tcBorders>
                    <w:top w:val="nil"/>
                    <w:left w:val="nil"/>
                    <w:bottom w:val="single" w:sz="4" w:space="0" w:color="auto"/>
                    <w:right w:val="single" w:sz="4" w:space="0" w:color="auto"/>
                  </w:tcBorders>
                  <w:shd w:val="clear" w:color="auto" w:fill="auto"/>
                  <w:noWrap/>
                  <w:vAlign w:val="center"/>
                  <w:hideMark/>
                </w:tcPr>
                <w:p w14:paraId="68E965D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Ins. Data rate (Mbps)</w:t>
                  </w:r>
                </w:p>
              </w:tc>
              <w:tc>
                <w:tcPr>
                  <w:tcW w:w="831" w:type="dxa"/>
                  <w:tcBorders>
                    <w:top w:val="nil"/>
                    <w:left w:val="nil"/>
                    <w:bottom w:val="single" w:sz="4" w:space="0" w:color="auto"/>
                    <w:right w:val="single" w:sz="4" w:space="0" w:color="auto"/>
                  </w:tcBorders>
                  <w:shd w:val="clear" w:color="auto" w:fill="auto"/>
                  <w:noWrap/>
                  <w:vAlign w:val="center"/>
                  <w:hideMark/>
                </w:tcPr>
                <w:p w14:paraId="5CF4251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num. symbols</w:t>
                  </w:r>
                </w:p>
              </w:tc>
              <w:tc>
                <w:tcPr>
                  <w:tcW w:w="816" w:type="dxa"/>
                  <w:tcBorders>
                    <w:top w:val="nil"/>
                    <w:left w:val="nil"/>
                    <w:bottom w:val="single" w:sz="4" w:space="0" w:color="auto"/>
                    <w:right w:val="single" w:sz="4" w:space="0" w:color="auto"/>
                  </w:tcBorders>
                  <w:shd w:val="clear" w:color="auto" w:fill="auto"/>
                  <w:noWrap/>
                  <w:vAlign w:val="center"/>
                  <w:hideMark/>
                </w:tcPr>
                <w:p w14:paraId="1D3F0014"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Ins. Data rate (Mbps)</w:t>
                  </w:r>
                </w:p>
              </w:tc>
              <w:tc>
                <w:tcPr>
                  <w:tcW w:w="688" w:type="dxa"/>
                  <w:tcBorders>
                    <w:top w:val="nil"/>
                    <w:left w:val="nil"/>
                    <w:bottom w:val="single" w:sz="4" w:space="0" w:color="auto"/>
                    <w:right w:val="single" w:sz="4" w:space="0" w:color="auto"/>
                  </w:tcBorders>
                  <w:shd w:val="clear" w:color="auto" w:fill="auto"/>
                  <w:noWrap/>
                  <w:vAlign w:val="center"/>
                  <w:hideMark/>
                </w:tcPr>
                <w:p w14:paraId="14F2BF4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num. symbols</w:t>
                  </w:r>
                </w:p>
              </w:tc>
              <w:tc>
                <w:tcPr>
                  <w:tcW w:w="629" w:type="dxa"/>
                  <w:tcBorders>
                    <w:top w:val="nil"/>
                    <w:left w:val="nil"/>
                    <w:bottom w:val="single" w:sz="4" w:space="0" w:color="auto"/>
                    <w:right w:val="single" w:sz="4" w:space="0" w:color="auto"/>
                  </w:tcBorders>
                  <w:shd w:val="clear" w:color="auto" w:fill="auto"/>
                  <w:noWrap/>
                  <w:vAlign w:val="center"/>
                  <w:hideMark/>
                </w:tcPr>
                <w:p w14:paraId="3F9FFF19"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Ins. Data rate (Mbps)</w:t>
                  </w:r>
                </w:p>
              </w:tc>
            </w:tr>
            <w:tr w:rsidR="00BA5333" w:rsidRPr="00BA5333" w14:paraId="410012F5" w14:textId="77777777" w:rsidTr="00BA5333">
              <w:trPr>
                <w:trHeight w:val="330"/>
              </w:trPr>
              <w:tc>
                <w:tcPr>
                  <w:tcW w:w="687" w:type="dxa"/>
                  <w:tcBorders>
                    <w:top w:val="nil"/>
                    <w:left w:val="single" w:sz="4" w:space="0" w:color="auto"/>
                    <w:bottom w:val="single" w:sz="4" w:space="0" w:color="auto"/>
                    <w:right w:val="single" w:sz="4" w:space="0" w:color="auto"/>
                  </w:tcBorders>
                  <w:shd w:val="clear" w:color="000000" w:fill="DA9694"/>
                  <w:noWrap/>
                  <w:vAlign w:val="center"/>
                  <w:hideMark/>
                </w:tcPr>
                <w:p w14:paraId="3BF17B2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10</w:t>
                  </w:r>
                </w:p>
              </w:tc>
              <w:tc>
                <w:tcPr>
                  <w:tcW w:w="628" w:type="dxa"/>
                  <w:tcBorders>
                    <w:top w:val="nil"/>
                    <w:left w:val="nil"/>
                    <w:bottom w:val="single" w:sz="4" w:space="0" w:color="auto"/>
                    <w:right w:val="single" w:sz="4" w:space="0" w:color="auto"/>
                  </w:tcBorders>
                  <w:shd w:val="clear" w:color="000000" w:fill="DA9694"/>
                  <w:noWrap/>
                  <w:vAlign w:val="center"/>
                  <w:hideMark/>
                </w:tcPr>
                <w:p w14:paraId="3A0F2C83"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2,111 </w:t>
                  </w:r>
                </w:p>
              </w:tc>
              <w:tc>
                <w:tcPr>
                  <w:tcW w:w="687" w:type="dxa"/>
                  <w:tcBorders>
                    <w:top w:val="nil"/>
                    <w:left w:val="nil"/>
                    <w:bottom w:val="single" w:sz="4" w:space="0" w:color="auto"/>
                    <w:right w:val="single" w:sz="4" w:space="0" w:color="auto"/>
                  </w:tcBorders>
                  <w:shd w:val="clear" w:color="000000" w:fill="DA9694"/>
                  <w:noWrap/>
                  <w:vAlign w:val="center"/>
                  <w:hideMark/>
                </w:tcPr>
                <w:p w14:paraId="732B7C26"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10</w:t>
                  </w:r>
                </w:p>
              </w:tc>
              <w:tc>
                <w:tcPr>
                  <w:tcW w:w="656" w:type="dxa"/>
                  <w:tcBorders>
                    <w:top w:val="nil"/>
                    <w:left w:val="nil"/>
                    <w:bottom w:val="single" w:sz="4" w:space="0" w:color="auto"/>
                    <w:right w:val="single" w:sz="4" w:space="0" w:color="auto"/>
                  </w:tcBorders>
                  <w:shd w:val="clear" w:color="000000" w:fill="DA9694"/>
                  <w:noWrap/>
                  <w:vAlign w:val="center"/>
                  <w:hideMark/>
                </w:tcPr>
                <w:p w14:paraId="6646A07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2,249 </w:t>
                  </w:r>
                </w:p>
              </w:tc>
              <w:tc>
                <w:tcPr>
                  <w:tcW w:w="831" w:type="dxa"/>
                  <w:tcBorders>
                    <w:top w:val="nil"/>
                    <w:left w:val="nil"/>
                    <w:bottom w:val="single" w:sz="4" w:space="0" w:color="auto"/>
                    <w:right w:val="single" w:sz="4" w:space="0" w:color="auto"/>
                  </w:tcBorders>
                  <w:shd w:val="clear" w:color="000000" w:fill="DA9694"/>
                  <w:noWrap/>
                  <w:vAlign w:val="center"/>
                  <w:hideMark/>
                </w:tcPr>
                <w:p w14:paraId="3E87976E"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10</w:t>
                  </w:r>
                </w:p>
              </w:tc>
              <w:tc>
                <w:tcPr>
                  <w:tcW w:w="816" w:type="dxa"/>
                  <w:tcBorders>
                    <w:top w:val="nil"/>
                    <w:left w:val="nil"/>
                    <w:bottom w:val="single" w:sz="4" w:space="0" w:color="auto"/>
                    <w:right w:val="single" w:sz="4" w:space="0" w:color="auto"/>
                  </w:tcBorders>
                  <w:shd w:val="clear" w:color="000000" w:fill="DA9694"/>
                  <w:noWrap/>
                  <w:vAlign w:val="center"/>
                  <w:hideMark/>
                </w:tcPr>
                <w:p w14:paraId="72C91D64"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2,341 </w:t>
                  </w:r>
                </w:p>
              </w:tc>
              <w:tc>
                <w:tcPr>
                  <w:tcW w:w="688" w:type="dxa"/>
                  <w:tcBorders>
                    <w:top w:val="nil"/>
                    <w:left w:val="nil"/>
                    <w:bottom w:val="single" w:sz="4" w:space="0" w:color="auto"/>
                    <w:right w:val="single" w:sz="4" w:space="0" w:color="auto"/>
                  </w:tcBorders>
                  <w:shd w:val="clear" w:color="000000" w:fill="DA9694"/>
                  <w:noWrap/>
                  <w:vAlign w:val="center"/>
                  <w:hideMark/>
                </w:tcPr>
                <w:p w14:paraId="28797BA4"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10</w:t>
                  </w:r>
                </w:p>
              </w:tc>
              <w:tc>
                <w:tcPr>
                  <w:tcW w:w="629" w:type="dxa"/>
                  <w:tcBorders>
                    <w:top w:val="nil"/>
                    <w:left w:val="nil"/>
                    <w:bottom w:val="single" w:sz="4" w:space="0" w:color="auto"/>
                    <w:right w:val="single" w:sz="4" w:space="0" w:color="auto"/>
                  </w:tcBorders>
                  <w:shd w:val="clear" w:color="000000" w:fill="DA9694"/>
                  <w:noWrap/>
                  <w:vAlign w:val="center"/>
                  <w:hideMark/>
                </w:tcPr>
                <w:p w14:paraId="57891539"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2,432 </w:t>
                  </w:r>
                </w:p>
              </w:tc>
            </w:tr>
            <w:tr w:rsidR="00BA5333" w:rsidRPr="00BA5333" w14:paraId="04B2DD3B" w14:textId="77777777" w:rsidTr="00BA5333">
              <w:trPr>
                <w:trHeight w:val="330"/>
              </w:trPr>
              <w:tc>
                <w:tcPr>
                  <w:tcW w:w="687" w:type="dxa"/>
                  <w:tcBorders>
                    <w:top w:val="nil"/>
                    <w:left w:val="single" w:sz="4" w:space="0" w:color="auto"/>
                    <w:bottom w:val="single" w:sz="4" w:space="0" w:color="auto"/>
                    <w:right w:val="single" w:sz="4" w:space="0" w:color="auto"/>
                  </w:tcBorders>
                  <w:shd w:val="clear" w:color="000000" w:fill="DA9694"/>
                  <w:noWrap/>
                  <w:vAlign w:val="center"/>
                  <w:hideMark/>
                </w:tcPr>
                <w:p w14:paraId="3AE4266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11</w:t>
                  </w:r>
                </w:p>
              </w:tc>
              <w:tc>
                <w:tcPr>
                  <w:tcW w:w="628" w:type="dxa"/>
                  <w:tcBorders>
                    <w:top w:val="nil"/>
                    <w:left w:val="nil"/>
                    <w:bottom w:val="single" w:sz="4" w:space="0" w:color="auto"/>
                    <w:right w:val="single" w:sz="4" w:space="0" w:color="auto"/>
                  </w:tcBorders>
                  <w:shd w:val="clear" w:color="000000" w:fill="DA9694"/>
                  <w:noWrap/>
                  <w:vAlign w:val="center"/>
                  <w:hideMark/>
                </w:tcPr>
                <w:p w14:paraId="5DA14E39"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1,919 </w:t>
                  </w:r>
                </w:p>
              </w:tc>
              <w:tc>
                <w:tcPr>
                  <w:tcW w:w="687" w:type="dxa"/>
                  <w:tcBorders>
                    <w:top w:val="nil"/>
                    <w:left w:val="nil"/>
                    <w:bottom w:val="single" w:sz="4" w:space="0" w:color="auto"/>
                    <w:right w:val="single" w:sz="4" w:space="0" w:color="auto"/>
                  </w:tcBorders>
                  <w:shd w:val="clear" w:color="000000" w:fill="DA9694"/>
                  <w:noWrap/>
                  <w:vAlign w:val="center"/>
                  <w:hideMark/>
                </w:tcPr>
                <w:p w14:paraId="1042CBA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11</w:t>
                  </w:r>
                </w:p>
              </w:tc>
              <w:tc>
                <w:tcPr>
                  <w:tcW w:w="656" w:type="dxa"/>
                  <w:tcBorders>
                    <w:top w:val="nil"/>
                    <w:left w:val="nil"/>
                    <w:bottom w:val="single" w:sz="4" w:space="0" w:color="auto"/>
                    <w:right w:val="single" w:sz="4" w:space="0" w:color="auto"/>
                  </w:tcBorders>
                  <w:shd w:val="clear" w:color="000000" w:fill="DA9694"/>
                  <w:noWrap/>
                  <w:vAlign w:val="center"/>
                  <w:hideMark/>
                </w:tcPr>
                <w:p w14:paraId="6D8AC10B"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2,045 </w:t>
                  </w:r>
                </w:p>
              </w:tc>
              <w:tc>
                <w:tcPr>
                  <w:tcW w:w="831" w:type="dxa"/>
                  <w:tcBorders>
                    <w:top w:val="nil"/>
                    <w:left w:val="nil"/>
                    <w:bottom w:val="single" w:sz="4" w:space="0" w:color="auto"/>
                    <w:right w:val="single" w:sz="4" w:space="0" w:color="auto"/>
                  </w:tcBorders>
                  <w:shd w:val="clear" w:color="000000" w:fill="DA9694"/>
                  <w:noWrap/>
                  <w:vAlign w:val="center"/>
                  <w:hideMark/>
                </w:tcPr>
                <w:p w14:paraId="7F1CAFDD"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11</w:t>
                  </w:r>
                </w:p>
              </w:tc>
              <w:tc>
                <w:tcPr>
                  <w:tcW w:w="816" w:type="dxa"/>
                  <w:tcBorders>
                    <w:top w:val="nil"/>
                    <w:left w:val="nil"/>
                    <w:bottom w:val="single" w:sz="4" w:space="0" w:color="auto"/>
                    <w:right w:val="single" w:sz="4" w:space="0" w:color="auto"/>
                  </w:tcBorders>
                  <w:shd w:val="clear" w:color="000000" w:fill="DA9694"/>
                  <w:noWrap/>
                  <w:vAlign w:val="center"/>
                  <w:hideMark/>
                </w:tcPr>
                <w:p w14:paraId="0A93AEA5"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2,128 </w:t>
                  </w:r>
                </w:p>
              </w:tc>
              <w:tc>
                <w:tcPr>
                  <w:tcW w:w="688" w:type="dxa"/>
                  <w:tcBorders>
                    <w:top w:val="nil"/>
                    <w:left w:val="nil"/>
                    <w:bottom w:val="single" w:sz="4" w:space="0" w:color="auto"/>
                    <w:right w:val="single" w:sz="4" w:space="0" w:color="auto"/>
                  </w:tcBorders>
                  <w:shd w:val="clear" w:color="000000" w:fill="DA9694"/>
                  <w:noWrap/>
                  <w:vAlign w:val="center"/>
                  <w:hideMark/>
                </w:tcPr>
                <w:p w14:paraId="5E9F9F1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11</w:t>
                  </w:r>
                </w:p>
              </w:tc>
              <w:tc>
                <w:tcPr>
                  <w:tcW w:w="629" w:type="dxa"/>
                  <w:tcBorders>
                    <w:top w:val="nil"/>
                    <w:left w:val="nil"/>
                    <w:bottom w:val="single" w:sz="4" w:space="0" w:color="auto"/>
                    <w:right w:val="single" w:sz="4" w:space="0" w:color="auto"/>
                  </w:tcBorders>
                  <w:shd w:val="clear" w:color="000000" w:fill="DA9694"/>
                  <w:noWrap/>
                  <w:vAlign w:val="center"/>
                  <w:hideMark/>
                </w:tcPr>
                <w:p w14:paraId="2CA6590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2,211 </w:t>
                  </w:r>
                </w:p>
              </w:tc>
            </w:tr>
            <w:tr w:rsidR="00BA5333" w:rsidRPr="00BA5333" w14:paraId="43AAC67D" w14:textId="77777777" w:rsidTr="00BA5333">
              <w:trPr>
                <w:trHeight w:val="330"/>
              </w:trPr>
              <w:tc>
                <w:tcPr>
                  <w:tcW w:w="687" w:type="dxa"/>
                  <w:tcBorders>
                    <w:top w:val="nil"/>
                    <w:left w:val="single" w:sz="4" w:space="0" w:color="auto"/>
                    <w:bottom w:val="single" w:sz="4" w:space="0" w:color="auto"/>
                    <w:right w:val="single" w:sz="4" w:space="0" w:color="auto"/>
                  </w:tcBorders>
                  <w:shd w:val="clear" w:color="000000" w:fill="DA9694"/>
                  <w:noWrap/>
                  <w:vAlign w:val="center"/>
                  <w:hideMark/>
                </w:tcPr>
                <w:p w14:paraId="5CDDD8EE"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12</w:t>
                  </w:r>
                </w:p>
              </w:tc>
              <w:tc>
                <w:tcPr>
                  <w:tcW w:w="628" w:type="dxa"/>
                  <w:tcBorders>
                    <w:top w:val="nil"/>
                    <w:left w:val="nil"/>
                    <w:bottom w:val="single" w:sz="4" w:space="0" w:color="auto"/>
                    <w:right w:val="single" w:sz="4" w:space="0" w:color="auto"/>
                  </w:tcBorders>
                  <w:shd w:val="clear" w:color="000000" w:fill="DA9694"/>
                  <w:noWrap/>
                  <w:vAlign w:val="center"/>
                  <w:hideMark/>
                </w:tcPr>
                <w:p w14:paraId="45D7FAA7"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1,759 </w:t>
                  </w:r>
                </w:p>
              </w:tc>
              <w:tc>
                <w:tcPr>
                  <w:tcW w:w="687" w:type="dxa"/>
                  <w:tcBorders>
                    <w:top w:val="nil"/>
                    <w:left w:val="nil"/>
                    <w:bottom w:val="single" w:sz="4" w:space="0" w:color="auto"/>
                    <w:right w:val="single" w:sz="4" w:space="0" w:color="auto"/>
                  </w:tcBorders>
                  <w:shd w:val="clear" w:color="000000" w:fill="DA9694"/>
                  <w:noWrap/>
                  <w:vAlign w:val="center"/>
                  <w:hideMark/>
                </w:tcPr>
                <w:p w14:paraId="09B7AA7E"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12</w:t>
                  </w:r>
                </w:p>
              </w:tc>
              <w:tc>
                <w:tcPr>
                  <w:tcW w:w="656" w:type="dxa"/>
                  <w:tcBorders>
                    <w:top w:val="nil"/>
                    <w:left w:val="nil"/>
                    <w:bottom w:val="single" w:sz="4" w:space="0" w:color="auto"/>
                    <w:right w:val="single" w:sz="4" w:space="0" w:color="auto"/>
                  </w:tcBorders>
                  <w:shd w:val="clear" w:color="000000" w:fill="DA9694"/>
                  <w:noWrap/>
                  <w:vAlign w:val="center"/>
                  <w:hideMark/>
                </w:tcPr>
                <w:p w14:paraId="661464B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1,874 </w:t>
                  </w:r>
                </w:p>
              </w:tc>
              <w:tc>
                <w:tcPr>
                  <w:tcW w:w="831" w:type="dxa"/>
                  <w:tcBorders>
                    <w:top w:val="nil"/>
                    <w:left w:val="nil"/>
                    <w:bottom w:val="single" w:sz="4" w:space="0" w:color="auto"/>
                    <w:right w:val="single" w:sz="4" w:space="0" w:color="auto"/>
                  </w:tcBorders>
                  <w:shd w:val="clear" w:color="000000" w:fill="DA9694"/>
                  <w:noWrap/>
                  <w:vAlign w:val="center"/>
                  <w:hideMark/>
                </w:tcPr>
                <w:p w14:paraId="37696CA5"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12</w:t>
                  </w:r>
                </w:p>
              </w:tc>
              <w:tc>
                <w:tcPr>
                  <w:tcW w:w="816" w:type="dxa"/>
                  <w:tcBorders>
                    <w:top w:val="nil"/>
                    <w:left w:val="nil"/>
                    <w:bottom w:val="single" w:sz="4" w:space="0" w:color="auto"/>
                    <w:right w:val="single" w:sz="4" w:space="0" w:color="auto"/>
                  </w:tcBorders>
                  <w:shd w:val="clear" w:color="000000" w:fill="DA9694"/>
                  <w:noWrap/>
                  <w:vAlign w:val="center"/>
                  <w:hideMark/>
                </w:tcPr>
                <w:p w14:paraId="6279C271"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1,951 </w:t>
                  </w:r>
                </w:p>
              </w:tc>
              <w:tc>
                <w:tcPr>
                  <w:tcW w:w="688" w:type="dxa"/>
                  <w:tcBorders>
                    <w:top w:val="nil"/>
                    <w:left w:val="nil"/>
                    <w:bottom w:val="single" w:sz="4" w:space="0" w:color="auto"/>
                    <w:right w:val="single" w:sz="4" w:space="0" w:color="auto"/>
                  </w:tcBorders>
                  <w:shd w:val="clear" w:color="000000" w:fill="DA9694"/>
                  <w:noWrap/>
                  <w:vAlign w:val="center"/>
                  <w:hideMark/>
                </w:tcPr>
                <w:p w14:paraId="74255458"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12</w:t>
                  </w:r>
                </w:p>
              </w:tc>
              <w:tc>
                <w:tcPr>
                  <w:tcW w:w="629" w:type="dxa"/>
                  <w:tcBorders>
                    <w:top w:val="nil"/>
                    <w:left w:val="nil"/>
                    <w:bottom w:val="single" w:sz="4" w:space="0" w:color="auto"/>
                    <w:right w:val="single" w:sz="4" w:space="0" w:color="auto"/>
                  </w:tcBorders>
                  <w:shd w:val="clear" w:color="000000" w:fill="DA9694"/>
                  <w:noWrap/>
                  <w:vAlign w:val="center"/>
                  <w:hideMark/>
                </w:tcPr>
                <w:p w14:paraId="5721B85E"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2,027 </w:t>
                  </w:r>
                </w:p>
              </w:tc>
            </w:tr>
            <w:tr w:rsidR="00BA5333" w:rsidRPr="00BA5333" w14:paraId="2AFC8377" w14:textId="77777777" w:rsidTr="00BA5333">
              <w:trPr>
                <w:trHeight w:val="33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14:paraId="098D892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13</w:t>
                  </w:r>
                </w:p>
              </w:tc>
              <w:tc>
                <w:tcPr>
                  <w:tcW w:w="628" w:type="dxa"/>
                  <w:tcBorders>
                    <w:top w:val="nil"/>
                    <w:left w:val="nil"/>
                    <w:bottom w:val="single" w:sz="4" w:space="0" w:color="auto"/>
                    <w:right w:val="single" w:sz="4" w:space="0" w:color="auto"/>
                  </w:tcBorders>
                  <w:shd w:val="clear" w:color="auto" w:fill="auto"/>
                  <w:noWrap/>
                  <w:vAlign w:val="center"/>
                  <w:hideMark/>
                </w:tcPr>
                <w:p w14:paraId="15D415B5"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1,624 </w:t>
                  </w:r>
                </w:p>
              </w:tc>
              <w:tc>
                <w:tcPr>
                  <w:tcW w:w="687" w:type="dxa"/>
                  <w:tcBorders>
                    <w:top w:val="nil"/>
                    <w:left w:val="nil"/>
                    <w:bottom w:val="single" w:sz="4" w:space="0" w:color="auto"/>
                    <w:right w:val="single" w:sz="4" w:space="0" w:color="auto"/>
                  </w:tcBorders>
                  <w:shd w:val="clear" w:color="auto" w:fill="auto"/>
                  <w:noWrap/>
                  <w:vAlign w:val="center"/>
                  <w:hideMark/>
                </w:tcPr>
                <w:p w14:paraId="0451877D"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13</w:t>
                  </w:r>
                </w:p>
              </w:tc>
              <w:tc>
                <w:tcPr>
                  <w:tcW w:w="656" w:type="dxa"/>
                  <w:tcBorders>
                    <w:top w:val="nil"/>
                    <w:left w:val="nil"/>
                    <w:bottom w:val="single" w:sz="4" w:space="0" w:color="auto"/>
                    <w:right w:val="single" w:sz="4" w:space="0" w:color="auto"/>
                  </w:tcBorders>
                  <w:shd w:val="clear" w:color="auto" w:fill="auto"/>
                  <w:noWrap/>
                  <w:vAlign w:val="center"/>
                  <w:hideMark/>
                </w:tcPr>
                <w:p w14:paraId="46C78BDE"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1,730 </w:t>
                  </w:r>
                </w:p>
              </w:tc>
              <w:tc>
                <w:tcPr>
                  <w:tcW w:w="831" w:type="dxa"/>
                  <w:tcBorders>
                    <w:top w:val="nil"/>
                    <w:left w:val="nil"/>
                    <w:bottom w:val="single" w:sz="4" w:space="0" w:color="auto"/>
                    <w:right w:val="single" w:sz="4" w:space="0" w:color="auto"/>
                  </w:tcBorders>
                  <w:shd w:val="clear" w:color="000000" w:fill="DA9694"/>
                  <w:noWrap/>
                  <w:vAlign w:val="center"/>
                  <w:hideMark/>
                </w:tcPr>
                <w:p w14:paraId="704DAC19"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13</w:t>
                  </w:r>
                </w:p>
              </w:tc>
              <w:tc>
                <w:tcPr>
                  <w:tcW w:w="816" w:type="dxa"/>
                  <w:tcBorders>
                    <w:top w:val="nil"/>
                    <w:left w:val="nil"/>
                    <w:bottom w:val="single" w:sz="4" w:space="0" w:color="auto"/>
                    <w:right w:val="single" w:sz="4" w:space="0" w:color="auto"/>
                  </w:tcBorders>
                  <w:shd w:val="clear" w:color="000000" w:fill="DA9694"/>
                  <w:noWrap/>
                  <w:vAlign w:val="center"/>
                  <w:hideMark/>
                </w:tcPr>
                <w:p w14:paraId="6ED01CDC"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1,801 </w:t>
                  </w:r>
                </w:p>
              </w:tc>
              <w:tc>
                <w:tcPr>
                  <w:tcW w:w="688" w:type="dxa"/>
                  <w:tcBorders>
                    <w:top w:val="nil"/>
                    <w:left w:val="nil"/>
                    <w:bottom w:val="single" w:sz="4" w:space="0" w:color="auto"/>
                    <w:right w:val="single" w:sz="4" w:space="0" w:color="auto"/>
                  </w:tcBorders>
                  <w:shd w:val="clear" w:color="000000" w:fill="DA9694"/>
                  <w:noWrap/>
                  <w:vAlign w:val="center"/>
                  <w:hideMark/>
                </w:tcPr>
                <w:p w14:paraId="40F025C6"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13</w:t>
                  </w:r>
                </w:p>
              </w:tc>
              <w:tc>
                <w:tcPr>
                  <w:tcW w:w="629" w:type="dxa"/>
                  <w:tcBorders>
                    <w:top w:val="nil"/>
                    <w:left w:val="nil"/>
                    <w:bottom w:val="single" w:sz="4" w:space="0" w:color="auto"/>
                    <w:right w:val="single" w:sz="4" w:space="0" w:color="auto"/>
                  </w:tcBorders>
                  <w:shd w:val="clear" w:color="000000" w:fill="DA9694"/>
                  <w:noWrap/>
                  <w:vAlign w:val="center"/>
                  <w:hideMark/>
                </w:tcPr>
                <w:p w14:paraId="57E5EE87"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1,871 </w:t>
                  </w:r>
                </w:p>
              </w:tc>
            </w:tr>
            <w:tr w:rsidR="00BA5333" w:rsidRPr="00BA5333" w14:paraId="7B8084F1" w14:textId="77777777" w:rsidTr="00BA5333">
              <w:trPr>
                <w:trHeight w:val="33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14:paraId="344C3E94"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14</w:t>
                  </w:r>
                </w:p>
              </w:tc>
              <w:tc>
                <w:tcPr>
                  <w:tcW w:w="628" w:type="dxa"/>
                  <w:tcBorders>
                    <w:top w:val="nil"/>
                    <w:left w:val="nil"/>
                    <w:bottom w:val="single" w:sz="4" w:space="0" w:color="auto"/>
                    <w:right w:val="single" w:sz="4" w:space="0" w:color="auto"/>
                  </w:tcBorders>
                  <w:shd w:val="clear" w:color="auto" w:fill="auto"/>
                  <w:noWrap/>
                  <w:vAlign w:val="center"/>
                  <w:hideMark/>
                </w:tcPr>
                <w:p w14:paraId="6C097F24"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1,508 </w:t>
                  </w:r>
                </w:p>
              </w:tc>
              <w:tc>
                <w:tcPr>
                  <w:tcW w:w="687" w:type="dxa"/>
                  <w:tcBorders>
                    <w:top w:val="nil"/>
                    <w:left w:val="nil"/>
                    <w:bottom w:val="single" w:sz="4" w:space="0" w:color="auto"/>
                    <w:right w:val="single" w:sz="4" w:space="0" w:color="auto"/>
                  </w:tcBorders>
                  <w:shd w:val="clear" w:color="auto" w:fill="auto"/>
                  <w:noWrap/>
                  <w:vAlign w:val="center"/>
                  <w:hideMark/>
                </w:tcPr>
                <w:p w14:paraId="435F7DF1"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14</w:t>
                  </w:r>
                </w:p>
              </w:tc>
              <w:tc>
                <w:tcPr>
                  <w:tcW w:w="656" w:type="dxa"/>
                  <w:tcBorders>
                    <w:top w:val="nil"/>
                    <w:left w:val="nil"/>
                    <w:bottom w:val="single" w:sz="4" w:space="0" w:color="auto"/>
                    <w:right w:val="single" w:sz="4" w:space="0" w:color="auto"/>
                  </w:tcBorders>
                  <w:shd w:val="clear" w:color="auto" w:fill="auto"/>
                  <w:noWrap/>
                  <w:vAlign w:val="center"/>
                  <w:hideMark/>
                </w:tcPr>
                <w:p w14:paraId="416F55C0"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1,607 </w:t>
                  </w:r>
                </w:p>
              </w:tc>
              <w:tc>
                <w:tcPr>
                  <w:tcW w:w="831" w:type="dxa"/>
                  <w:tcBorders>
                    <w:top w:val="nil"/>
                    <w:left w:val="nil"/>
                    <w:bottom w:val="single" w:sz="4" w:space="0" w:color="auto"/>
                    <w:right w:val="single" w:sz="4" w:space="0" w:color="auto"/>
                  </w:tcBorders>
                  <w:shd w:val="clear" w:color="auto" w:fill="auto"/>
                  <w:noWrap/>
                  <w:vAlign w:val="center"/>
                  <w:hideMark/>
                </w:tcPr>
                <w:p w14:paraId="6739805D"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14</w:t>
                  </w:r>
                </w:p>
              </w:tc>
              <w:tc>
                <w:tcPr>
                  <w:tcW w:w="816" w:type="dxa"/>
                  <w:tcBorders>
                    <w:top w:val="nil"/>
                    <w:left w:val="nil"/>
                    <w:bottom w:val="single" w:sz="4" w:space="0" w:color="auto"/>
                    <w:right w:val="single" w:sz="4" w:space="0" w:color="auto"/>
                  </w:tcBorders>
                  <w:shd w:val="clear" w:color="auto" w:fill="auto"/>
                  <w:noWrap/>
                  <w:vAlign w:val="center"/>
                  <w:hideMark/>
                </w:tcPr>
                <w:p w14:paraId="23FE52EB"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1,672 </w:t>
                  </w:r>
                </w:p>
              </w:tc>
              <w:tc>
                <w:tcPr>
                  <w:tcW w:w="688" w:type="dxa"/>
                  <w:tcBorders>
                    <w:top w:val="nil"/>
                    <w:left w:val="nil"/>
                    <w:bottom w:val="single" w:sz="4" w:space="0" w:color="auto"/>
                    <w:right w:val="single" w:sz="4" w:space="0" w:color="auto"/>
                  </w:tcBorders>
                  <w:shd w:val="clear" w:color="auto" w:fill="auto"/>
                  <w:noWrap/>
                  <w:vAlign w:val="center"/>
                  <w:hideMark/>
                </w:tcPr>
                <w:p w14:paraId="6EBFC0C2"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14</w:t>
                  </w:r>
                </w:p>
              </w:tc>
              <w:tc>
                <w:tcPr>
                  <w:tcW w:w="629" w:type="dxa"/>
                  <w:tcBorders>
                    <w:top w:val="nil"/>
                    <w:left w:val="nil"/>
                    <w:bottom w:val="single" w:sz="4" w:space="0" w:color="auto"/>
                    <w:right w:val="single" w:sz="4" w:space="0" w:color="auto"/>
                  </w:tcBorders>
                  <w:shd w:val="clear" w:color="auto" w:fill="auto"/>
                  <w:noWrap/>
                  <w:vAlign w:val="center"/>
                  <w:hideMark/>
                </w:tcPr>
                <w:p w14:paraId="4D52C5F1" w14:textId="77777777" w:rsidR="00BA5333" w:rsidRPr="00BA5333" w:rsidRDefault="00BA5333" w:rsidP="00BA5333">
                  <w:pPr>
                    <w:spacing w:after="0"/>
                    <w:jc w:val="center"/>
                    <w:rPr>
                      <w:rFonts w:ascii="Times" w:eastAsia="맑은 고딕" w:hAnsi="Times" w:cs="Times"/>
                      <w:color w:val="000000"/>
                      <w:sz w:val="18"/>
                      <w:lang w:eastAsia="ko-KR"/>
                    </w:rPr>
                  </w:pPr>
                  <w:r w:rsidRPr="00BA5333">
                    <w:rPr>
                      <w:rFonts w:ascii="Times" w:eastAsia="맑은 고딕" w:hAnsi="Times" w:cs="Times"/>
                      <w:color w:val="000000"/>
                      <w:sz w:val="18"/>
                      <w:lang w:eastAsia="ko-KR"/>
                    </w:rPr>
                    <w:t xml:space="preserve">     1,737 </w:t>
                  </w:r>
                </w:p>
              </w:tc>
            </w:tr>
          </w:tbl>
          <w:p w14:paraId="39E83DF2" w14:textId="77777777" w:rsidR="00F145EE" w:rsidRDefault="00F145EE" w:rsidP="00FF5351">
            <w:pPr>
              <w:pStyle w:val="Style1"/>
              <w:spacing w:after="120" w:line="360" w:lineRule="auto"/>
              <w:ind w:firstLine="0"/>
              <w:rPr>
                <w:rFonts w:eastAsiaTheme="minorEastAsia"/>
                <w:lang w:val="en-GB" w:eastAsia="ko-KR"/>
              </w:rPr>
            </w:pPr>
          </w:p>
        </w:tc>
      </w:tr>
    </w:tbl>
    <w:p w14:paraId="315F36E4" w14:textId="7D839C00" w:rsidR="003F5301" w:rsidRDefault="0010624D" w:rsidP="003F5301">
      <w:pPr>
        <w:pStyle w:val="Style1"/>
        <w:spacing w:after="120" w:line="360" w:lineRule="auto"/>
        <w:rPr>
          <w:rFonts w:eastAsiaTheme="minorEastAsia"/>
          <w:lang w:val="en-GB" w:eastAsia="ko-KR"/>
        </w:rPr>
      </w:pPr>
      <w:r>
        <w:rPr>
          <w:rFonts w:eastAsiaTheme="minorEastAsia"/>
          <w:lang w:val="en-GB" w:eastAsia="ko-KR"/>
        </w:rPr>
        <w:fldChar w:fldCharType="begin"/>
      </w:r>
      <w:r>
        <w:rPr>
          <w:rFonts w:eastAsiaTheme="minorEastAsia"/>
          <w:lang w:val="en-GB" w:eastAsia="ko-KR"/>
        </w:rPr>
        <w:instrText xml:space="preserve"> REF _Ref942207 \h </w:instrText>
      </w:r>
      <w:r>
        <w:rPr>
          <w:rFonts w:eastAsiaTheme="minorEastAsia"/>
          <w:lang w:val="en-GB" w:eastAsia="ko-KR"/>
        </w:rPr>
      </w:r>
      <w:r>
        <w:rPr>
          <w:rFonts w:eastAsiaTheme="minorEastAsia"/>
          <w:lang w:val="en-GB" w:eastAsia="ko-KR"/>
        </w:rPr>
        <w:fldChar w:fldCharType="separate"/>
      </w:r>
      <w:r w:rsidR="006572FD">
        <w:t xml:space="preserve">Table </w:t>
      </w:r>
      <w:r w:rsidR="006572FD">
        <w:rPr>
          <w:noProof/>
        </w:rPr>
        <w:t>3</w:t>
      </w:r>
      <w:r>
        <w:rPr>
          <w:rFonts w:eastAsiaTheme="minorEastAsia"/>
          <w:lang w:val="en-GB" w:eastAsia="ko-KR"/>
        </w:rPr>
        <w:fldChar w:fldCharType="end"/>
      </w:r>
      <w:r>
        <w:rPr>
          <w:rFonts w:eastAsiaTheme="minorEastAsia"/>
          <w:lang w:val="en-GB" w:eastAsia="ko-KR"/>
        </w:rPr>
        <w:t xml:space="preserve"> s</w:t>
      </w:r>
      <w:r>
        <w:rPr>
          <w:rFonts w:eastAsiaTheme="minorEastAsia" w:hint="eastAsia"/>
          <w:lang w:val="en-GB" w:eastAsia="ko-KR"/>
        </w:rPr>
        <w:t xml:space="preserve">hows </w:t>
      </w:r>
      <w:r>
        <w:rPr>
          <w:rFonts w:eastAsiaTheme="minorEastAsia"/>
          <w:lang w:val="en-GB" w:eastAsia="ko-KR"/>
        </w:rPr>
        <w:t xml:space="preserve">MCS, TBS, and instantaneous data rate for initial data rate, where the instantaneous data rate is calculated as the sum of TBS’s within a slot divided by slot length. Only single PDSCH in the slot is assumed.  </w:t>
      </w:r>
      <w:r w:rsidR="00F849F7">
        <w:rPr>
          <w:rFonts w:eastAsiaTheme="minorEastAsia"/>
          <w:lang w:val="en-GB" w:eastAsia="ko-KR"/>
        </w:rPr>
        <w:fldChar w:fldCharType="begin"/>
      </w:r>
      <w:r w:rsidR="00F849F7">
        <w:rPr>
          <w:rFonts w:eastAsiaTheme="minorEastAsia"/>
          <w:lang w:val="en-GB" w:eastAsia="ko-KR"/>
        </w:rPr>
        <w:instrText xml:space="preserve"> REF _Ref942207 \h </w:instrText>
      </w:r>
      <w:r w:rsidR="00F849F7">
        <w:rPr>
          <w:rFonts w:eastAsiaTheme="minorEastAsia"/>
          <w:lang w:val="en-GB" w:eastAsia="ko-KR"/>
        </w:rPr>
      </w:r>
      <w:r w:rsidR="00F849F7">
        <w:rPr>
          <w:rFonts w:eastAsiaTheme="minorEastAsia"/>
          <w:lang w:val="en-GB" w:eastAsia="ko-KR"/>
        </w:rPr>
        <w:fldChar w:fldCharType="separate"/>
      </w:r>
      <w:r w:rsidR="006572FD">
        <w:t xml:space="preserve">Table </w:t>
      </w:r>
      <w:r w:rsidR="006572FD">
        <w:rPr>
          <w:noProof/>
        </w:rPr>
        <w:t>3</w:t>
      </w:r>
      <w:r w:rsidR="00F849F7">
        <w:rPr>
          <w:rFonts w:eastAsiaTheme="minorEastAsia"/>
          <w:lang w:val="en-GB" w:eastAsia="ko-KR"/>
        </w:rPr>
        <w:fldChar w:fldCharType="end"/>
      </w:r>
      <w:r w:rsidR="00F849F7">
        <w:rPr>
          <w:rFonts w:eastAsiaTheme="minorEastAsia"/>
          <w:lang w:val="en-GB" w:eastAsia="ko-KR"/>
        </w:rPr>
        <w:t xml:space="preserve"> also s</w:t>
      </w:r>
      <w:r w:rsidR="00F849F7">
        <w:rPr>
          <w:rFonts w:eastAsiaTheme="minorEastAsia" w:hint="eastAsia"/>
          <w:lang w:val="en-GB" w:eastAsia="ko-KR"/>
        </w:rPr>
        <w:t>hows</w:t>
      </w:r>
      <w:r w:rsidR="0088556E">
        <w:rPr>
          <w:rFonts w:eastAsiaTheme="minorEastAsia"/>
          <w:lang w:val="en-GB" w:eastAsia="ko-KR"/>
        </w:rPr>
        <w:t xml:space="preserve"> the number of symbols used for retransmission and instantaneous data rate, where the instantaneous data rate for retransmission is calculated as the number of symbols of PDSCH divided by PDSCH duration. </w:t>
      </w:r>
      <w:r w:rsidR="003F5301">
        <w:rPr>
          <w:rFonts w:eastAsiaTheme="minorEastAsia"/>
          <w:lang w:val="en-GB" w:eastAsia="ko-KR"/>
        </w:rPr>
        <w:t xml:space="preserve">Since the max data rate in this example is 1752 Mbps, the retransmission has the restrictions on the number of symbols according to the TBS (or MCS chosen for initial transmission). For example, when the initial transmission uses MCS 26 (i.e., TBS is 803,304) and 13 symbols, then the retransmission should use 13 symbols or 14 symbols. Similarly, when the initial transmission uses MCS 27 (i.e., TBS is 835,976) and 13 symbols, then the retransmission should use 14 symbols, which is longer than the initial transmission. This is because of Restriction 2 in </w:t>
      </w:r>
      <w:r w:rsidR="003F5301">
        <w:rPr>
          <w:rFonts w:eastAsiaTheme="minorEastAsia"/>
          <w:lang w:val="en-GB" w:eastAsia="ko-KR"/>
        </w:rPr>
        <w:fldChar w:fldCharType="begin"/>
      </w:r>
      <w:r w:rsidR="003F5301">
        <w:rPr>
          <w:rFonts w:eastAsiaTheme="minorEastAsia"/>
          <w:lang w:val="en-GB" w:eastAsia="ko-KR"/>
        </w:rPr>
        <w:instrText xml:space="preserve"> REF _Ref933012 \h </w:instrText>
      </w:r>
      <w:r w:rsidR="003F5301">
        <w:rPr>
          <w:rFonts w:eastAsiaTheme="minorEastAsia"/>
          <w:lang w:val="en-GB" w:eastAsia="ko-KR"/>
        </w:rPr>
      </w:r>
      <w:r w:rsidR="003F5301">
        <w:rPr>
          <w:rFonts w:eastAsiaTheme="minorEastAsia"/>
          <w:lang w:val="en-GB" w:eastAsia="ko-KR"/>
        </w:rPr>
        <w:fldChar w:fldCharType="separate"/>
      </w:r>
      <w:r w:rsidR="006572FD">
        <w:t xml:space="preserve">Table </w:t>
      </w:r>
      <w:r w:rsidR="006572FD">
        <w:rPr>
          <w:noProof/>
        </w:rPr>
        <w:t>1</w:t>
      </w:r>
      <w:r w:rsidR="003F5301">
        <w:rPr>
          <w:rFonts w:eastAsiaTheme="minorEastAsia"/>
          <w:lang w:val="en-GB" w:eastAsia="ko-KR"/>
        </w:rPr>
        <w:fldChar w:fldCharType="end"/>
      </w:r>
      <w:r w:rsidR="003F5301">
        <w:rPr>
          <w:rFonts w:eastAsiaTheme="minorEastAsia"/>
          <w:lang w:val="en-GB" w:eastAsia="ko-KR"/>
        </w:rPr>
        <w:t>. Similar restriction happens for FR2 and also, the smaller number of symbols like 7 symbols.</w:t>
      </w:r>
      <w:r w:rsidR="003F5301">
        <w:rPr>
          <w:rFonts w:eastAsiaTheme="minorEastAsia" w:hint="eastAsia"/>
          <w:lang w:val="en-GB" w:eastAsia="ko-KR"/>
        </w:rPr>
        <w:t xml:space="preserve"> T</w:t>
      </w:r>
      <w:r w:rsidR="003F5301">
        <w:rPr>
          <w:rFonts w:eastAsiaTheme="minorEastAsia"/>
          <w:lang w:val="en-GB" w:eastAsia="ko-KR"/>
        </w:rPr>
        <w:t xml:space="preserve">his is too much restrictive for gNB scheduling, which is more restrictive than LTE. Therefore, the draft CR </w:t>
      </w:r>
      <w:r w:rsidR="00D34B58">
        <w:rPr>
          <w:rFonts w:eastAsiaTheme="minorEastAsia"/>
          <w:lang w:val="en-GB" w:eastAsia="ko-KR"/>
        </w:rPr>
        <w:t>[1] is proposed.</w:t>
      </w:r>
    </w:p>
    <w:p w14:paraId="162A51C0" w14:textId="193EAC64" w:rsidR="00D34B58" w:rsidRPr="00886969" w:rsidRDefault="00D34B58" w:rsidP="00D34B58">
      <w:pPr>
        <w:pStyle w:val="ac"/>
        <w:rPr>
          <w:i/>
        </w:rPr>
      </w:pPr>
      <w:bookmarkStart w:id="7" w:name="_Ref534628867"/>
      <w:r w:rsidRPr="00886969">
        <w:rPr>
          <w:i/>
        </w:rPr>
        <w:t xml:space="preserve">Observation </w:t>
      </w:r>
      <w:r w:rsidRPr="00886969">
        <w:rPr>
          <w:i/>
        </w:rPr>
        <w:fldChar w:fldCharType="begin"/>
      </w:r>
      <w:r w:rsidRPr="00886969">
        <w:rPr>
          <w:i/>
        </w:rPr>
        <w:instrText xml:space="preserve"> SEQ Observation \* ARABIC </w:instrText>
      </w:r>
      <w:r w:rsidRPr="00886969">
        <w:rPr>
          <w:i/>
        </w:rPr>
        <w:fldChar w:fldCharType="separate"/>
      </w:r>
      <w:r w:rsidR="006572FD">
        <w:rPr>
          <w:i/>
          <w:noProof/>
        </w:rPr>
        <w:t>1</w:t>
      </w:r>
      <w:r w:rsidRPr="00886969">
        <w:rPr>
          <w:i/>
        </w:rPr>
        <w:fldChar w:fldCharType="end"/>
      </w:r>
      <w:r w:rsidRPr="00886969">
        <w:rPr>
          <w:i/>
        </w:rPr>
        <w:t xml:space="preserve">. NR has </w:t>
      </w:r>
      <w:r w:rsidR="007B78B5" w:rsidRPr="00886969">
        <w:rPr>
          <w:i/>
        </w:rPr>
        <w:t>strong restriction on the number of symbols for retransmission.</w:t>
      </w:r>
    </w:p>
    <w:p w14:paraId="595978C9" w14:textId="55BD34DF" w:rsidR="008F19D4" w:rsidRPr="00DD16B6" w:rsidRDefault="0017450A" w:rsidP="0017450A">
      <w:pPr>
        <w:pStyle w:val="ac"/>
        <w:rPr>
          <w:i/>
        </w:rPr>
      </w:pPr>
      <w:bookmarkStart w:id="8" w:name="_Ref945696"/>
      <w:r w:rsidRPr="00DD16B6">
        <w:rPr>
          <w:i/>
        </w:rPr>
        <w:t xml:space="preserve">Proposal </w:t>
      </w:r>
      <w:r w:rsidRPr="00DD16B6">
        <w:rPr>
          <w:i/>
        </w:rPr>
        <w:fldChar w:fldCharType="begin"/>
      </w:r>
      <w:r w:rsidRPr="00DD16B6">
        <w:rPr>
          <w:i/>
        </w:rPr>
        <w:instrText xml:space="preserve"> SEQ Proposal \* ARABIC </w:instrText>
      </w:r>
      <w:r w:rsidRPr="00DD16B6">
        <w:rPr>
          <w:i/>
        </w:rPr>
        <w:fldChar w:fldCharType="separate"/>
      </w:r>
      <w:r w:rsidR="006572FD">
        <w:rPr>
          <w:i/>
          <w:noProof/>
        </w:rPr>
        <w:t>1</w:t>
      </w:r>
      <w:r w:rsidRPr="00DD16B6">
        <w:rPr>
          <w:i/>
        </w:rPr>
        <w:fldChar w:fldCharType="end"/>
      </w:r>
      <w:r w:rsidRPr="00DD16B6">
        <w:rPr>
          <w:i/>
        </w:rPr>
        <w:t xml:space="preserve">. </w:t>
      </w:r>
      <w:r w:rsidR="00D34B58">
        <w:rPr>
          <w:i/>
        </w:rPr>
        <w:t>Adopt the draft CR [1] for TS38.214.</w:t>
      </w:r>
      <w:bookmarkEnd w:id="8"/>
      <w:r w:rsidR="00D34B58">
        <w:rPr>
          <w:i/>
        </w:rPr>
        <w:t xml:space="preserve"> </w:t>
      </w:r>
      <w:bookmarkEnd w:id="7"/>
    </w:p>
    <w:p w14:paraId="48024C14" w14:textId="42ED942E" w:rsidR="00DD16B6" w:rsidRDefault="00DD16B6" w:rsidP="00DD16B6">
      <w:pPr>
        <w:rPr>
          <w:lang w:val="en-GB"/>
        </w:rPr>
      </w:pPr>
    </w:p>
    <w:p w14:paraId="77B84855" w14:textId="42FCB693" w:rsidR="005F57C1" w:rsidRPr="009B4FCF" w:rsidRDefault="003640E1" w:rsidP="005F57C1">
      <w:pPr>
        <w:pStyle w:val="1"/>
        <w:spacing w:line="360" w:lineRule="auto"/>
        <w:rPr>
          <w:rFonts w:eastAsia="SimSun"/>
          <w:lang w:eastAsia="zh-CN"/>
        </w:rPr>
      </w:pPr>
      <w:r>
        <w:rPr>
          <w:rFonts w:eastAsia="SimSun"/>
          <w:lang w:eastAsia="zh-CN"/>
        </w:rPr>
        <w:t>Default parameters for TBS</w:t>
      </w:r>
      <w:r w:rsidRPr="003640E1">
        <w:rPr>
          <w:rFonts w:eastAsia="SimSun"/>
          <w:vertAlign w:val="subscript"/>
          <w:lang w:eastAsia="zh-CN"/>
        </w:rPr>
        <w:t>LBRM</w:t>
      </w:r>
      <w:r>
        <w:rPr>
          <w:rFonts w:eastAsia="SimSun"/>
          <w:lang w:eastAsia="zh-CN"/>
        </w:rPr>
        <w:t xml:space="preserve"> and max data rate</w:t>
      </w:r>
    </w:p>
    <w:p w14:paraId="61351FDA" w14:textId="5F532BED" w:rsidR="004031E8" w:rsidRDefault="003640E1" w:rsidP="003640E1">
      <w:pPr>
        <w:pStyle w:val="Style1"/>
        <w:spacing w:after="120" w:line="360" w:lineRule="auto"/>
        <w:rPr>
          <w:lang w:val="en-GB"/>
        </w:rPr>
      </w:pPr>
      <w:r>
        <w:rPr>
          <w:lang w:val="en-GB"/>
        </w:rPr>
        <w:t>In Section 5.4.2.1 of TS38.212 V15.4.0, how to calculate TBS</w:t>
      </w:r>
      <w:r w:rsidRPr="003640E1">
        <w:rPr>
          <w:vertAlign w:val="subscript"/>
          <w:lang w:val="en-GB"/>
        </w:rPr>
        <w:t>LBRM</w:t>
      </w:r>
      <w:r>
        <w:rPr>
          <w:lang w:val="en-GB"/>
        </w:rPr>
        <w:t xml:space="preserve"> for applying LBRM in DL/UL is described.</w:t>
      </w:r>
      <w:r w:rsidR="004031E8">
        <w:rPr>
          <w:lang w:val="en-GB"/>
        </w:rPr>
        <w:t xml:space="preserve"> In calculation of TBS</w:t>
      </w:r>
      <w:r w:rsidR="004031E8" w:rsidRPr="003640E1">
        <w:rPr>
          <w:vertAlign w:val="subscript"/>
          <w:lang w:val="en-GB"/>
        </w:rPr>
        <w:t>LBRM</w:t>
      </w:r>
      <w:r w:rsidR="004031E8">
        <w:rPr>
          <w:lang w:val="en-GB"/>
        </w:rPr>
        <w:t xml:space="preserve">, the maximum number of layers and maximum modulation order are used. For the maximum modulation order, it depends on configuration and it is fixed as 64QAM unless configured. For the maximum number of layers, it also depends on configurations, it is given by UE capability unless configured. </w:t>
      </w:r>
      <w:r w:rsidR="00361BD7">
        <w:rPr>
          <w:lang w:val="en-GB"/>
        </w:rPr>
        <w:t xml:space="preserve">For DL, there is ambiguity which value is used for the maximum number of layers before UE capability is exchanged as shown </w:t>
      </w:r>
      <w:r w:rsidR="00361BD7">
        <w:rPr>
          <w:lang w:val="en-GB"/>
        </w:rPr>
        <w:fldChar w:fldCharType="begin"/>
      </w:r>
      <w:r w:rsidR="00361BD7">
        <w:rPr>
          <w:lang w:val="en-GB"/>
        </w:rPr>
        <w:instrText xml:space="preserve"> REF _Ref944645 \h </w:instrText>
      </w:r>
      <w:r w:rsidR="00361BD7">
        <w:rPr>
          <w:lang w:val="en-GB"/>
        </w:rPr>
      </w:r>
      <w:r w:rsidR="00361BD7">
        <w:rPr>
          <w:lang w:val="en-GB"/>
        </w:rPr>
        <w:fldChar w:fldCharType="separate"/>
      </w:r>
      <w:r w:rsidR="006572FD">
        <w:t xml:space="preserve">Figure </w:t>
      </w:r>
      <w:r w:rsidR="006572FD">
        <w:rPr>
          <w:noProof/>
        </w:rPr>
        <w:t>3</w:t>
      </w:r>
      <w:r w:rsidR="00361BD7">
        <w:rPr>
          <w:lang w:val="en-GB"/>
        </w:rPr>
        <w:fldChar w:fldCharType="end"/>
      </w:r>
      <w:r w:rsidR="00361BD7">
        <w:rPr>
          <w:lang w:val="en-GB"/>
        </w:rPr>
        <w:t>.</w:t>
      </w:r>
      <w:r w:rsidR="00A91918">
        <w:rPr>
          <w:lang w:val="en-GB"/>
        </w:rPr>
        <w:t xml:space="preserve"> If there is ambiguity, then the gNB and the UE may compute TBS</w:t>
      </w:r>
      <w:r w:rsidR="00A91918" w:rsidRPr="00A91918">
        <w:rPr>
          <w:vertAlign w:val="subscript"/>
          <w:lang w:val="en-GB"/>
        </w:rPr>
        <w:t>LBRM</w:t>
      </w:r>
      <w:r w:rsidR="00A91918">
        <w:rPr>
          <w:lang w:val="en-GB"/>
        </w:rPr>
        <w:t xml:space="preserve"> differently. In that case, the UE cannot decode PDSCH correctly.</w:t>
      </w:r>
    </w:p>
    <w:p w14:paraId="1C3CF481" w14:textId="2176AD32" w:rsidR="00361BD7" w:rsidRPr="005E1393" w:rsidRDefault="00361BD7" w:rsidP="00361BD7">
      <w:pPr>
        <w:pStyle w:val="ac"/>
        <w:rPr>
          <w:i/>
        </w:rPr>
      </w:pPr>
      <w:bookmarkStart w:id="9" w:name="_Ref945700"/>
      <w:r w:rsidRPr="005E1393">
        <w:rPr>
          <w:i/>
        </w:rPr>
        <w:t xml:space="preserve">Proposal </w:t>
      </w:r>
      <w:r w:rsidRPr="005E1393">
        <w:rPr>
          <w:i/>
        </w:rPr>
        <w:fldChar w:fldCharType="begin"/>
      </w:r>
      <w:r w:rsidRPr="005E1393">
        <w:rPr>
          <w:i/>
        </w:rPr>
        <w:instrText xml:space="preserve"> SEQ Proposal \* ARABIC </w:instrText>
      </w:r>
      <w:r w:rsidRPr="005E1393">
        <w:rPr>
          <w:i/>
        </w:rPr>
        <w:fldChar w:fldCharType="separate"/>
      </w:r>
      <w:r w:rsidR="006572FD" w:rsidRPr="005E1393">
        <w:rPr>
          <w:i/>
          <w:noProof/>
        </w:rPr>
        <w:t>2</w:t>
      </w:r>
      <w:r w:rsidRPr="005E1393">
        <w:rPr>
          <w:i/>
        </w:rPr>
        <w:fldChar w:fldCharType="end"/>
      </w:r>
      <w:r w:rsidRPr="005E1393">
        <w:rPr>
          <w:i/>
        </w:rPr>
        <w:t>. Default value for DL maximum number of layer is assumed to be 1</w:t>
      </w:r>
      <w:r w:rsidR="00A91918" w:rsidRPr="005E1393">
        <w:rPr>
          <w:i/>
        </w:rPr>
        <w:t xml:space="preserve"> for TBS</w:t>
      </w:r>
      <w:r w:rsidR="00A91918" w:rsidRPr="005E1393">
        <w:rPr>
          <w:i/>
          <w:vertAlign w:val="subscript"/>
        </w:rPr>
        <w:t>LBRM</w:t>
      </w:r>
      <w:r w:rsidRPr="005E1393">
        <w:rPr>
          <w:i/>
        </w:rPr>
        <w:t>.</w:t>
      </w:r>
      <w:bookmarkEnd w:id="9"/>
    </w:p>
    <w:p w14:paraId="305BE079" w14:textId="77777777" w:rsidR="00361BD7" w:rsidRDefault="00361BD7" w:rsidP="00361BD7">
      <w:pPr>
        <w:pStyle w:val="Style1"/>
        <w:keepNext/>
        <w:spacing w:after="120" w:line="360" w:lineRule="auto"/>
        <w:ind w:firstLine="0"/>
        <w:jc w:val="center"/>
      </w:pPr>
      <w:r w:rsidRPr="00361BD7">
        <w:rPr>
          <w:noProof/>
          <w:lang w:eastAsia="ko-KR"/>
        </w:rPr>
        <w:lastRenderedPageBreak/>
        <w:drawing>
          <wp:inline distT="0" distB="0" distL="0" distR="0" wp14:anchorId="25F2E8C9" wp14:editId="5B33744D">
            <wp:extent cx="4991735" cy="1238485"/>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5000511" cy="1240662"/>
                    </a:xfrm>
                    <a:prstGeom prst="rect">
                      <a:avLst/>
                    </a:prstGeom>
                  </pic:spPr>
                </pic:pic>
              </a:graphicData>
            </a:graphic>
          </wp:inline>
        </w:drawing>
      </w:r>
    </w:p>
    <w:p w14:paraId="6CEAAE15" w14:textId="521BC0D3" w:rsidR="00361BD7" w:rsidRDefault="00361BD7" w:rsidP="00361BD7">
      <w:pPr>
        <w:pStyle w:val="ac"/>
        <w:jc w:val="center"/>
      </w:pPr>
      <w:bookmarkStart w:id="10" w:name="_Ref944645"/>
      <w:r>
        <w:t xml:space="preserve">Figure </w:t>
      </w:r>
      <w:r>
        <w:fldChar w:fldCharType="begin"/>
      </w:r>
      <w:r>
        <w:instrText xml:space="preserve"> SEQ Figure \* ARABIC </w:instrText>
      </w:r>
      <w:r>
        <w:fldChar w:fldCharType="separate"/>
      </w:r>
      <w:r w:rsidR="006572FD">
        <w:rPr>
          <w:noProof/>
        </w:rPr>
        <w:t>3</w:t>
      </w:r>
      <w:r>
        <w:fldChar w:fldCharType="end"/>
      </w:r>
      <w:bookmarkEnd w:id="10"/>
      <w:r>
        <w:t>. Ambiguity on some parameters between RACH procedure complete and UE capability reporting</w:t>
      </w:r>
    </w:p>
    <w:p w14:paraId="09C8E287" w14:textId="65FD971D" w:rsidR="004031E8" w:rsidRDefault="004031E8" w:rsidP="003640E1">
      <w:pPr>
        <w:pStyle w:val="Style1"/>
        <w:spacing w:after="120" w:line="360" w:lineRule="auto"/>
        <w:rPr>
          <w:lang w:val="en-GB"/>
        </w:rPr>
      </w:pPr>
    </w:p>
    <w:p w14:paraId="57464A0E" w14:textId="18C57434" w:rsidR="003640E1" w:rsidRPr="00A91918" w:rsidRDefault="003640E1" w:rsidP="00A91918">
      <w:pPr>
        <w:pStyle w:val="Style1"/>
        <w:spacing w:after="120" w:line="360" w:lineRule="auto"/>
        <w:rPr>
          <w:rFonts w:eastAsiaTheme="minorEastAsia"/>
          <w:lang w:val="en-GB" w:eastAsia="ko-KR"/>
        </w:rPr>
      </w:pPr>
      <w:r>
        <w:rPr>
          <w:rFonts w:eastAsiaTheme="minorEastAsia" w:hint="eastAsia"/>
          <w:lang w:val="en-GB" w:eastAsia="ko-KR"/>
        </w:rPr>
        <w:t xml:space="preserve">In </w:t>
      </w:r>
      <w:r>
        <w:rPr>
          <w:rFonts w:eastAsiaTheme="minorEastAsia"/>
          <w:lang w:val="en-GB" w:eastAsia="ko-KR"/>
        </w:rPr>
        <w:t>S</w:t>
      </w:r>
      <w:r>
        <w:rPr>
          <w:rFonts w:eastAsiaTheme="minorEastAsia" w:hint="eastAsia"/>
          <w:lang w:val="en-GB" w:eastAsia="ko-KR"/>
        </w:rPr>
        <w:t xml:space="preserve">ection </w:t>
      </w:r>
      <w:r>
        <w:rPr>
          <w:rFonts w:eastAsiaTheme="minorEastAsia"/>
          <w:lang w:val="en-GB" w:eastAsia="ko-KR"/>
        </w:rPr>
        <w:t>4.1.2</w:t>
      </w:r>
      <w:r w:rsidRPr="003640E1">
        <w:rPr>
          <w:lang w:val="en-GB"/>
        </w:rPr>
        <w:t xml:space="preserve"> </w:t>
      </w:r>
      <w:r>
        <w:rPr>
          <w:lang w:val="en-GB"/>
        </w:rPr>
        <w:t>of TS38.306 V15.4.0, how to calculate max data rate is described.</w:t>
      </w:r>
      <w:r w:rsidR="00A91918">
        <w:rPr>
          <w:lang w:val="en-GB"/>
        </w:rPr>
        <w:t xml:space="preserve"> </w:t>
      </w:r>
      <w:r w:rsidR="00A91918">
        <w:rPr>
          <w:rFonts w:eastAsiaTheme="minorEastAsia" w:hint="eastAsia"/>
          <w:lang w:val="en-GB" w:eastAsia="ko-KR"/>
        </w:rPr>
        <w:t xml:space="preserve">Similar to </w:t>
      </w:r>
      <w:r w:rsidR="00A91918">
        <w:rPr>
          <w:lang w:val="en-GB"/>
        </w:rPr>
        <w:t>TBS</w:t>
      </w:r>
      <w:r w:rsidR="00A91918" w:rsidRPr="003640E1">
        <w:rPr>
          <w:vertAlign w:val="subscript"/>
          <w:lang w:val="en-GB"/>
        </w:rPr>
        <w:t>LBRM</w:t>
      </w:r>
      <w:r w:rsidR="00A91918">
        <w:rPr>
          <w:rFonts w:eastAsiaTheme="minorEastAsia" w:hint="eastAsia"/>
          <w:lang w:val="en-GB" w:eastAsia="ko-KR"/>
        </w:rPr>
        <w:t>,</w:t>
      </w:r>
      <w:r w:rsidR="00A91918">
        <w:rPr>
          <w:rFonts w:eastAsiaTheme="minorEastAsia"/>
          <w:lang w:val="en-GB" w:eastAsia="ko-KR"/>
        </w:rPr>
        <w:t xml:space="preserve"> due to ambiguity between </w:t>
      </w:r>
      <w:r w:rsidR="00A737F6">
        <w:t>RACH procedure complete and UE capability reporting</w:t>
      </w:r>
      <w:r w:rsidR="00A91918">
        <w:rPr>
          <w:rFonts w:eastAsiaTheme="minorEastAsia"/>
          <w:lang w:val="en-GB" w:eastAsia="ko-KR"/>
        </w:rPr>
        <w:t xml:space="preserve">, default values are needed for the maximum number of layers for DL/UL and </w:t>
      </w:r>
      <w:r w:rsidR="00A737F6">
        <w:rPr>
          <w:rFonts w:eastAsiaTheme="minorEastAsia"/>
          <w:lang w:val="en-GB" w:eastAsia="ko-KR"/>
        </w:rPr>
        <w:t>the supported modulation order (from pi/2-bpsk to 256QAM).</w:t>
      </w:r>
    </w:p>
    <w:p w14:paraId="0A03BABB" w14:textId="6B83CA6A" w:rsidR="006572FD" w:rsidRPr="005E1393" w:rsidRDefault="006572FD" w:rsidP="006572FD">
      <w:pPr>
        <w:pStyle w:val="ac"/>
        <w:rPr>
          <w:i/>
        </w:rPr>
      </w:pPr>
      <w:bookmarkStart w:id="11" w:name="_Ref945702"/>
      <w:r w:rsidRPr="005E1393">
        <w:rPr>
          <w:i/>
        </w:rPr>
        <w:t xml:space="preserve">Proposal </w:t>
      </w:r>
      <w:r w:rsidRPr="005E1393">
        <w:rPr>
          <w:i/>
        </w:rPr>
        <w:fldChar w:fldCharType="begin"/>
      </w:r>
      <w:r w:rsidRPr="005E1393">
        <w:rPr>
          <w:i/>
        </w:rPr>
        <w:instrText xml:space="preserve"> SEQ Proposal \* ARABIC </w:instrText>
      </w:r>
      <w:r w:rsidRPr="005E1393">
        <w:rPr>
          <w:i/>
        </w:rPr>
        <w:fldChar w:fldCharType="separate"/>
      </w:r>
      <w:r w:rsidRPr="005E1393">
        <w:rPr>
          <w:i/>
          <w:noProof/>
        </w:rPr>
        <w:t>3</w:t>
      </w:r>
      <w:r w:rsidRPr="005E1393">
        <w:rPr>
          <w:i/>
        </w:rPr>
        <w:fldChar w:fldCharType="end"/>
      </w:r>
      <w:r w:rsidRPr="005E1393">
        <w:rPr>
          <w:i/>
        </w:rPr>
        <w:t>. Default value for maximum number of layer is assumed to be 1 for max data rate.</w:t>
      </w:r>
      <w:bookmarkEnd w:id="11"/>
    </w:p>
    <w:p w14:paraId="01FEF1D1" w14:textId="06DEF111" w:rsidR="006572FD" w:rsidRPr="005E1393" w:rsidRDefault="006572FD" w:rsidP="006572FD">
      <w:pPr>
        <w:pStyle w:val="ac"/>
        <w:rPr>
          <w:i/>
        </w:rPr>
      </w:pPr>
      <w:bookmarkStart w:id="12" w:name="_Ref945704"/>
      <w:r w:rsidRPr="005E1393">
        <w:rPr>
          <w:i/>
        </w:rPr>
        <w:t xml:space="preserve">Proposal </w:t>
      </w:r>
      <w:r w:rsidRPr="005E1393">
        <w:rPr>
          <w:i/>
        </w:rPr>
        <w:fldChar w:fldCharType="begin"/>
      </w:r>
      <w:r w:rsidRPr="005E1393">
        <w:rPr>
          <w:i/>
        </w:rPr>
        <w:instrText xml:space="preserve"> SEQ Proposal \* ARABIC </w:instrText>
      </w:r>
      <w:r w:rsidRPr="005E1393">
        <w:rPr>
          <w:i/>
        </w:rPr>
        <w:fldChar w:fldCharType="separate"/>
      </w:r>
      <w:r w:rsidRPr="005E1393">
        <w:rPr>
          <w:i/>
          <w:noProof/>
        </w:rPr>
        <w:t>4</w:t>
      </w:r>
      <w:r w:rsidRPr="005E1393">
        <w:rPr>
          <w:i/>
        </w:rPr>
        <w:fldChar w:fldCharType="end"/>
      </w:r>
      <w:r w:rsidRPr="005E1393">
        <w:rPr>
          <w:i/>
        </w:rPr>
        <w:t>. Default value for supported modulation order is assumed to be 6 (64QAM) for max data rate.</w:t>
      </w:r>
      <w:bookmarkEnd w:id="12"/>
    </w:p>
    <w:p w14:paraId="1AB844CA" w14:textId="07FA96CA" w:rsidR="003640E1" w:rsidRPr="006572FD" w:rsidRDefault="003640E1" w:rsidP="006572FD">
      <w:pPr>
        <w:pStyle w:val="Style1"/>
        <w:spacing w:after="120" w:line="360" w:lineRule="auto"/>
        <w:ind w:firstLine="0"/>
        <w:rPr>
          <w:rFonts w:eastAsiaTheme="minorEastAsia"/>
          <w:lang w:val="en-GB" w:eastAsia="ko-KR"/>
        </w:rPr>
      </w:pPr>
    </w:p>
    <w:p w14:paraId="0DEAC771" w14:textId="3E97FB98" w:rsidR="006572FD" w:rsidRDefault="006572FD" w:rsidP="006572FD">
      <w:pPr>
        <w:pStyle w:val="Style1"/>
        <w:spacing w:after="120" w:line="360" w:lineRule="auto"/>
        <w:ind w:firstLine="0"/>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nother issue is which value is used between </w:t>
      </w:r>
      <w:r w:rsidRPr="006572FD">
        <w:rPr>
          <w:rFonts w:eastAsiaTheme="minorEastAsia"/>
          <w:lang w:val="en-GB" w:eastAsia="ko-KR"/>
        </w:rPr>
        <w:t>maxNumberMIMO-LayersCB-PUSCH and maxNumberMIMO-LayersNonCB-PUSCH</w:t>
      </w:r>
      <w:r>
        <w:rPr>
          <w:rFonts w:eastAsiaTheme="minorEastAsia" w:hint="eastAsia"/>
          <w:lang w:val="en-GB" w:eastAsia="ko-KR"/>
        </w:rPr>
        <w:t xml:space="preserve">. </w:t>
      </w:r>
      <w:r>
        <w:rPr>
          <w:rFonts w:eastAsiaTheme="minorEastAsia"/>
          <w:lang w:val="en-GB" w:eastAsia="ko-KR"/>
        </w:rPr>
        <w:t>The current specification for max data rate defines the maximum of those two parameters when reported. But, it is not clearly described when only one of those two parameter is reported. This is needed for both parts for TBS</w:t>
      </w:r>
      <w:r w:rsidRPr="006572FD">
        <w:rPr>
          <w:rFonts w:eastAsiaTheme="minorEastAsia"/>
          <w:vertAlign w:val="subscript"/>
          <w:lang w:val="en-GB" w:eastAsia="ko-KR"/>
        </w:rPr>
        <w:t>LBRM</w:t>
      </w:r>
      <w:r>
        <w:rPr>
          <w:rFonts w:eastAsiaTheme="minorEastAsia"/>
          <w:lang w:val="en-GB" w:eastAsia="ko-KR"/>
        </w:rPr>
        <w:t xml:space="preserve"> and max data rate.</w:t>
      </w:r>
    </w:p>
    <w:p w14:paraId="1384BA12" w14:textId="0418E2AD" w:rsidR="006572FD" w:rsidRDefault="006572FD" w:rsidP="006572FD">
      <w:pPr>
        <w:pStyle w:val="ac"/>
      </w:pPr>
      <w:bookmarkStart w:id="13" w:name="_Ref945707"/>
      <w:r>
        <w:t xml:space="preserve">Proposal </w:t>
      </w:r>
      <w:r>
        <w:fldChar w:fldCharType="begin"/>
      </w:r>
      <w:r>
        <w:instrText xml:space="preserve"> SEQ Proposal \* ARABIC </w:instrText>
      </w:r>
      <w:r>
        <w:fldChar w:fldCharType="separate"/>
      </w:r>
      <w:r>
        <w:rPr>
          <w:noProof/>
        </w:rPr>
        <w:t>5</w:t>
      </w:r>
      <w:r>
        <w:fldChar w:fldCharType="end"/>
      </w:r>
      <w:r>
        <w:t xml:space="preserve">. </w:t>
      </w:r>
      <w:r>
        <w:rPr>
          <w:i/>
        </w:rPr>
        <w:t>Adopt the draft CR [2] for TS38.306</w:t>
      </w:r>
      <w:r>
        <w:t>.</w:t>
      </w:r>
      <w:bookmarkEnd w:id="13"/>
    </w:p>
    <w:p w14:paraId="37BD4DC7" w14:textId="6D977CEA" w:rsidR="006572FD" w:rsidRDefault="006572FD" w:rsidP="006572FD">
      <w:pPr>
        <w:pStyle w:val="ac"/>
      </w:pPr>
      <w:bookmarkStart w:id="14" w:name="_Ref945710"/>
      <w:r>
        <w:t xml:space="preserve">Proposal </w:t>
      </w:r>
      <w:r>
        <w:fldChar w:fldCharType="begin"/>
      </w:r>
      <w:r>
        <w:instrText xml:space="preserve"> SEQ Proposal \* ARABIC </w:instrText>
      </w:r>
      <w:r>
        <w:fldChar w:fldCharType="separate"/>
      </w:r>
      <w:r>
        <w:rPr>
          <w:noProof/>
        </w:rPr>
        <w:t>6</w:t>
      </w:r>
      <w:r>
        <w:fldChar w:fldCharType="end"/>
      </w:r>
      <w:r>
        <w:t xml:space="preserve">. </w:t>
      </w:r>
      <w:r>
        <w:rPr>
          <w:i/>
        </w:rPr>
        <w:t>Adopt the draft CR [3] for TS38.212</w:t>
      </w:r>
      <w:r>
        <w:t>.</w:t>
      </w:r>
      <w:bookmarkEnd w:id="14"/>
    </w:p>
    <w:p w14:paraId="08F0F3CC" w14:textId="77777777" w:rsidR="005F57C1" w:rsidRPr="00DD16B6" w:rsidRDefault="005F57C1" w:rsidP="00DD16B6">
      <w:pPr>
        <w:rPr>
          <w:lang w:val="en-GB"/>
        </w:rPr>
      </w:pPr>
    </w:p>
    <w:p w14:paraId="587BA10B" w14:textId="77777777" w:rsidR="008F19D4" w:rsidRPr="009B4FCF" w:rsidRDefault="008F19D4" w:rsidP="0023169C">
      <w:pPr>
        <w:pStyle w:val="1"/>
        <w:spacing w:after="60" w:line="360" w:lineRule="auto"/>
        <w:ind w:left="774" w:hangingChars="215" w:hanging="774"/>
        <w:rPr>
          <w:rFonts w:eastAsia="바탕"/>
          <w:lang w:val="en-US" w:eastAsia="ko-KR"/>
        </w:rPr>
      </w:pPr>
      <w:r w:rsidRPr="00CB2496">
        <w:rPr>
          <w:rFonts w:eastAsia="바탕"/>
          <w:lang w:val="en-US" w:eastAsia="ko-KR"/>
        </w:rPr>
        <w:t>Concl</w:t>
      </w:r>
      <w:r w:rsidRPr="00CF7348">
        <w:rPr>
          <w:rFonts w:eastAsia="바탕"/>
          <w:lang w:val="en-US" w:eastAsia="ko-KR"/>
        </w:rPr>
        <w:t>usions</w:t>
      </w:r>
    </w:p>
    <w:p w14:paraId="3515A1D6" w14:textId="5C89D7CD" w:rsidR="00467B42" w:rsidRDefault="008F19D4" w:rsidP="00A10FE8">
      <w:pPr>
        <w:pStyle w:val="Style1"/>
        <w:spacing w:after="120" w:line="360" w:lineRule="auto"/>
      </w:pPr>
      <w:r w:rsidRPr="009B4FCF">
        <w:rPr>
          <w:rFonts w:hint="eastAsia"/>
        </w:rPr>
        <w:t>In this contribution, we provide</w:t>
      </w:r>
      <w:r w:rsidRPr="00E836E3">
        <w:rPr>
          <w:rFonts w:hint="eastAsia"/>
        </w:rPr>
        <w:t xml:space="preserve"> </w:t>
      </w:r>
      <w:r w:rsidR="00A10FE8">
        <w:t xml:space="preserve">discussion on three draft CRs with the </w:t>
      </w:r>
      <w:r w:rsidR="009E5069">
        <w:t>following proposals.</w:t>
      </w:r>
    </w:p>
    <w:p w14:paraId="2F28BE66" w14:textId="0E3F5CF3" w:rsidR="00A10FE8"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_Ref945696 \h  \* MERGEFORMAT </w:instrText>
      </w:r>
      <w:r w:rsidRPr="005E1393">
        <w:rPr>
          <w:b/>
          <w:i/>
        </w:rPr>
      </w:r>
      <w:r w:rsidRPr="005E1393">
        <w:rPr>
          <w:b/>
          <w:i/>
        </w:rPr>
        <w:fldChar w:fldCharType="separate"/>
      </w:r>
      <w:r w:rsidRPr="005E1393">
        <w:rPr>
          <w:b/>
          <w:i/>
        </w:rPr>
        <w:t xml:space="preserve">Proposal </w:t>
      </w:r>
      <w:r w:rsidRPr="005E1393">
        <w:rPr>
          <w:b/>
          <w:i/>
          <w:noProof/>
        </w:rPr>
        <w:t>1</w:t>
      </w:r>
      <w:r w:rsidRPr="005E1393">
        <w:rPr>
          <w:b/>
          <w:i/>
        </w:rPr>
        <w:t>. Adopt the draft CR [1] for TS38.214.</w:t>
      </w:r>
      <w:r w:rsidRPr="005E1393">
        <w:rPr>
          <w:b/>
          <w:i/>
        </w:rPr>
        <w:fldChar w:fldCharType="end"/>
      </w:r>
    </w:p>
    <w:p w14:paraId="1EA223E4" w14:textId="2FDD7CF1" w:rsidR="005E1393"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_Ref945700 \h  \* MERGEFORMAT </w:instrText>
      </w:r>
      <w:r w:rsidRPr="005E1393">
        <w:rPr>
          <w:b/>
          <w:i/>
        </w:rPr>
      </w:r>
      <w:r w:rsidRPr="005E1393">
        <w:rPr>
          <w:b/>
          <w:i/>
        </w:rPr>
        <w:fldChar w:fldCharType="separate"/>
      </w:r>
      <w:r w:rsidRPr="005E1393">
        <w:rPr>
          <w:b/>
          <w:i/>
        </w:rPr>
        <w:t xml:space="preserve">Proposal </w:t>
      </w:r>
      <w:r w:rsidRPr="005E1393">
        <w:rPr>
          <w:b/>
          <w:i/>
          <w:noProof/>
        </w:rPr>
        <w:t>2</w:t>
      </w:r>
      <w:r w:rsidRPr="005E1393">
        <w:rPr>
          <w:b/>
          <w:i/>
        </w:rPr>
        <w:t xml:space="preserve">. Default value for DL maximum number of layer is assumed to be 1 for </w:t>
      </w:r>
      <w:r w:rsidRPr="005E1393">
        <w:rPr>
          <w:b/>
          <w:i/>
          <w:lang w:val="en-GB"/>
        </w:rPr>
        <w:t>TBS</w:t>
      </w:r>
      <w:r w:rsidRPr="005E1393">
        <w:rPr>
          <w:b/>
          <w:i/>
          <w:vertAlign w:val="subscript"/>
          <w:lang w:val="en-GB"/>
        </w:rPr>
        <w:t>LBRM</w:t>
      </w:r>
      <w:r w:rsidRPr="005E1393">
        <w:rPr>
          <w:b/>
          <w:i/>
        </w:rPr>
        <w:t>.</w:t>
      </w:r>
      <w:r w:rsidRPr="005E1393">
        <w:rPr>
          <w:b/>
          <w:i/>
        </w:rPr>
        <w:fldChar w:fldCharType="end"/>
      </w:r>
    </w:p>
    <w:p w14:paraId="224F40D7" w14:textId="5F0EF8E6" w:rsidR="005E1393"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_Ref945702 \h  \* MERGEFORMAT </w:instrText>
      </w:r>
      <w:r w:rsidRPr="005E1393">
        <w:rPr>
          <w:b/>
          <w:i/>
        </w:rPr>
      </w:r>
      <w:r w:rsidRPr="005E1393">
        <w:rPr>
          <w:b/>
          <w:i/>
        </w:rPr>
        <w:fldChar w:fldCharType="separate"/>
      </w:r>
      <w:r w:rsidRPr="005E1393">
        <w:rPr>
          <w:b/>
          <w:i/>
        </w:rPr>
        <w:t xml:space="preserve">Proposal </w:t>
      </w:r>
      <w:r w:rsidRPr="005E1393">
        <w:rPr>
          <w:b/>
          <w:i/>
          <w:noProof/>
        </w:rPr>
        <w:t>3</w:t>
      </w:r>
      <w:r w:rsidRPr="005E1393">
        <w:rPr>
          <w:b/>
          <w:i/>
        </w:rPr>
        <w:t>. Default value for maximum number of layer is assumed to be 1 for max data rate.</w:t>
      </w:r>
      <w:r w:rsidRPr="005E1393">
        <w:rPr>
          <w:b/>
          <w:i/>
        </w:rPr>
        <w:fldChar w:fldCharType="end"/>
      </w:r>
    </w:p>
    <w:p w14:paraId="09DCA3FF" w14:textId="5C6F771B" w:rsidR="005E1393"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_Ref945704 \h  \* MERGEFORMAT </w:instrText>
      </w:r>
      <w:r w:rsidRPr="005E1393">
        <w:rPr>
          <w:b/>
          <w:i/>
        </w:rPr>
      </w:r>
      <w:r w:rsidRPr="005E1393">
        <w:rPr>
          <w:b/>
          <w:i/>
        </w:rPr>
        <w:fldChar w:fldCharType="separate"/>
      </w:r>
      <w:r w:rsidRPr="005E1393">
        <w:rPr>
          <w:b/>
          <w:i/>
        </w:rPr>
        <w:t xml:space="preserve">Proposal </w:t>
      </w:r>
      <w:r w:rsidRPr="005E1393">
        <w:rPr>
          <w:b/>
          <w:i/>
          <w:noProof/>
        </w:rPr>
        <w:t>4</w:t>
      </w:r>
      <w:r w:rsidRPr="005E1393">
        <w:rPr>
          <w:b/>
          <w:i/>
        </w:rPr>
        <w:t>. Default value for supported modulation order is assumed to be 6 (64QAM) for max data rate.</w:t>
      </w:r>
      <w:r w:rsidRPr="005E1393">
        <w:rPr>
          <w:b/>
          <w:i/>
        </w:rPr>
        <w:fldChar w:fldCharType="end"/>
      </w:r>
    </w:p>
    <w:p w14:paraId="13A4EC1B" w14:textId="3B3921B2" w:rsidR="005E1393"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_Ref945707 \h  \* MERGEFORMAT </w:instrText>
      </w:r>
      <w:r w:rsidRPr="005E1393">
        <w:rPr>
          <w:b/>
          <w:i/>
        </w:rPr>
      </w:r>
      <w:r w:rsidRPr="005E1393">
        <w:rPr>
          <w:b/>
          <w:i/>
        </w:rPr>
        <w:fldChar w:fldCharType="separate"/>
      </w:r>
      <w:r w:rsidRPr="005E1393">
        <w:rPr>
          <w:b/>
          <w:i/>
        </w:rPr>
        <w:t xml:space="preserve">Proposal </w:t>
      </w:r>
      <w:r w:rsidRPr="005E1393">
        <w:rPr>
          <w:b/>
          <w:i/>
          <w:noProof/>
        </w:rPr>
        <w:t>5</w:t>
      </w:r>
      <w:r w:rsidRPr="005E1393">
        <w:rPr>
          <w:b/>
          <w:i/>
        </w:rPr>
        <w:t>. Adopt the draft CR [2] for TS38.306.</w:t>
      </w:r>
      <w:r w:rsidRPr="005E1393">
        <w:rPr>
          <w:b/>
          <w:i/>
        </w:rPr>
        <w:fldChar w:fldCharType="end"/>
      </w:r>
    </w:p>
    <w:p w14:paraId="241E0129" w14:textId="19CE902B" w:rsidR="005E1393" w:rsidRPr="005E1393" w:rsidRDefault="005E1393" w:rsidP="00A10FE8">
      <w:pPr>
        <w:pStyle w:val="Style1"/>
        <w:spacing w:after="120" w:line="360" w:lineRule="auto"/>
        <w:ind w:firstLine="0"/>
        <w:rPr>
          <w:b/>
          <w:i/>
        </w:rPr>
      </w:pPr>
      <w:r w:rsidRPr="005E1393">
        <w:rPr>
          <w:b/>
          <w:i/>
        </w:rPr>
        <w:fldChar w:fldCharType="begin"/>
      </w:r>
      <w:r w:rsidRPr="005E1393">
        <w:rPr>
          <w:b/>
          <w:i/>
        </w:rPr>
        <w:instrText xml:space="preserve"> REF _Ref945710 \h  \* MERGEFORMAT </w:instrText>
      </w:r>
      <w:r w:rsidRPr="005E1393">
        <w:rPr>
          <w:b/>
          <w:i/>
        </w:rPr>
      </w:r>
      <w:r w:rsidRPr="005E1393">
        <w:rPr>
          <w:b/>
          <w:i/>
        </w:rPr>
        <w:fldChar w:fldCharType="separate"/>
      </w:r>
      <w:r w:rsidRPr="005E1393">
        <w:rPr>
          <w:b/>
          <w:i/>
        </w:rPr>
        <w:t xml:space="preserve">Proposal </w:t>
      </w:r>
      <w:r w:rsidRPr="005E1393">
        <w:rPr>
          <w:b/>
          <w:i/>
          <w:noProof/>
        </w:rPr>
        <w:t>6</w:t>
      </w:r>
      <w:r w:rsidRPr="005E1393">
        <w:rPr>
          <w:b/>
          <w:i/>
        </w:rPr>
        <w:t>. Adopt the draft CR [3] for TS38.212.</w:t>
      </w:r>
      <w:r w:rsidRPr="005E1393">
        <w:rPr>
          <w:b/>
          <w:i/>
        </w:rPr>
        <w:fldChar w:fldCharType="end"/>
      </w:r>
    </w:p>
    <w:p w14:paraId="177A9BB3" w14:textId="77777777" w:rsidR="008F19D4" w:rsidRPr="009426B4" w:rsidRDefault="008F19D4" w:rsidP="0023169C">
      <w:pPr>
        <w:spacing w:after="0" w:line="360" w:lineRule="auto"/>
        <w:rPr>
          <w:i/>
          <w:u w:val="single"/>
        </w:rPr>
      </w:pPr>
    </w:p>
    <w:p w14:paraId="55B3CE02" w14:textId="77777777" w:rsidR="008F19D4" w:rsidRPr="00CB2496" w:rsidRDefault="008F19D4" w:rsidP="0023169C">
      <w:pPr>
        <w:pStyle w:val="1"/>
        <w:numPr>
          <w:ilvl w:val="0"/>
          <w:numId w:val="0"/>
        </w:numPr>
        <w:spacing w:before="0" w:after="120" w:line="360" w:lineRule="auto"/>
        <w:rPr>
          <w:rFonts w:eastAsia="SimSun"/>
          <w:lang w:val="pt-BR" w:eastAsia="zh-CN"/>
        </w:rPr>
      </w:pPr>
      <w:r w:rsidRPr="00CB2496">
        <w:rPr>
          <w:rFonts w:eastAsia="바탕"/>
          <w:lang w:val="pt-BR" w:eastAsia="ko-KR"/>
        </w:rPr>
        <w:t>References</w:t>
      </w:r>
    </w:p>
    <w:p w14:paraId="6DF31477" w14:textId="3B41A412" w:rsidR="008F19D4" w:rsidRDefault="008F19D4" w:rsidP="0023169C">
      <w:pPr>
        <w:spacing w:after="0" w:line="360" w:lineRule="auto"/>
        <w:rPr>
          <w:rFonts w:eastAsia="맑은 고딕"/>
          <w:lang w:eastAsia="ko-KR"/>
        </w:rPr>
      </w:pPr>
      <w:bookmarkStart w:id="15" w:name="_Ref462779233"/>
      <w:r w:rsidRPr="00CB2496">
        <w:rPr>
          <w:rFonts w:hint="eastAsia"/>
          <w:lang w:val="fi-FI"/>
        </w:rPr>
        <w:t xml:space="preserve">[1] </w:t>
      </w:r>
      <w:bookmarkStart w:id="16" w:name="_Ref521501348"/>
      <w:r w:rsidR="00AF0B2E" w:rsidRPr="008D2CB8">
        <w:rPr>
          <w:rFonts w:eastAsia="맑은 고딕"/>
          <w:lang w:eastAsia="ko-KR"/>
        </w:rPr>
        <w:t>R</w:t>
      </w:r>
      <w:r w:rsidR="00D34B58">
        <w:rPr>
          <w:rFonts w:eastAsia="맑은 고딕"/>
          <w:lang w:eastAsia="ko-KR"/>
        </w:rPr>
        <w:t>1-190</w:t>
      </w:r>
      <w:r w:rsidR="00121C90">
        <w:rPr>
          <w:rFonts w:eastAsia="맑은 고딕"/>
          <w:lang w:eastAsia="ko-KR"/>
        </w:rPr>
        <w:t>2229</w:t>
      </w:r>
      <w:r w:rsidR="00AF0B2E" w:rsidRPr="008D2CB8">
        <w:rPr>
          <w:rFonts w:eastAsia="맑은 고딕"/>
          <w:lang w:eastAsia="ko-KR"/>
        </w:rPr>
        <w:t>, “</w:t>
      </w:r>
      <w:r w:rsidR="00D34B58" w:rsidRPr="00B91FFF">
        <w:t xml:space="preserve">Draft CR on </w:t>
      </w:r>
      <w:r w:rsidR="00D34B58">
        <w:t>scheduling restriction by max data rate</w:t>
      </w:r>
      <w:r w:rsidR="00AF0B2E" w:rsidRPr="008D2CB8">
        <w:rPr>
          <w:rFonts w:eastAsia="맑은 고딕"/>
          <w:lang w:eastAsia="ko-KR"/>
        </w:rPr>
        <w:t>”</w:t>
      </w:r>
      <w:bookmarkEnd w:id="16"/>
      <w:r w:rsidR="00AF0B2E">
        <w:rPr>
          <w:rFonts w:eastAsia="맑은 고딕"/>
          <w:lang w:eastAsia="ko-KR"/>
        </w:rPr>
        <w:t xml:space="preserve">, </w:t>
      </w:r>
      <w:r w:rsidR="00D34B58">
        <w:rPr>
          <w:rFonts w:eastAsia="맑은 고딕"/>
          <w:lang w:eastAsia="ko-KR"/>
        </w:rPr>
        <w:t>RAN1#96, Feb</w:t>
      </w:r>
      <w:r w:rsidR="00AF0B2E">
        <w:rPr>
          <w:rFonts w:eastAsia="맑은 고딕"/>
          <w:lang w:eastAsia="ko-KR"/>
        </w:rPr>
        <w:t>. 201</w:t>
      </w:r>
      <w:r w:rsidR="00D34B58">
        <w:rPr>
          <w:rFonts w:eastAsia="맑은 고딕"/>
          <w:lang w:eastAsia="ko-KR"/>
        </w:rPr>
        <w:t>9</w:t>
      </w:r>
    </w:p>
    <w:p w14:paraId="6B38C017" w14:textId="525B6DA2" w:rsidR="005F57C1" w:rsidRPr="00CB2496" w:rsidRDefault="005F57C1" w:rsidP="005F57C1">
      <w:pPr>
        <w:spacing w:after="0" w:line="360" w:lineRule="auto"/>
        <w:rPr>
          <w:lang w:val="fi-FI"/>
        </w:rPr>
      </w:pPr>
      <w:r w:rsidRPr="00CB2496">
        <w:rPr>
          <w:rFonts w:hint="eastAsia"/>
          <w:lang w:val="fi-FI"/>
        </w:rPr>
        <w:t>[</w:t>
      </w:r>
      <w:r>
        <w:rPr>
          <w:lang w:val="fi-FI"/>
        </w:rPr>
        <w:t>2</w:t>
      </w:r>
      <w:r w:rsidRPr="00CB2496">
        <w:rPr>
          <w:rFonts w:hint="eastAsia"/>
          <w:lang w:val="fi-FI"/>
        </w:rPr>
        <w:t xml:space="preserve">] </w:t>
      </w:r>
      <w:r w:rsidRPr="008D2CB8">
        <w:rPr>
          <w:rFonts w:eastAsia="맑은 고딕"/>
          <w:lang w:eastAsia="ko-KR"/>
        </w:rPr>
        <w:t>R</w:t>
      </w:r>
      <w:r>
        <w:rPr>
          <w:rFonts w:eastAsia="맑은 고딕"/>
          <w:lang w:eastAsia="ko-KR"/>
        </w:rPr>
        <w:t>1-190</w:t>
      </w:r>
      <w:r w:rsidR="00121C90">
        <w:rPr>
          <w:rFonts w:eastAsia="맑은 고딕"/>
          <w:lang w:eastAsia="ko-KR"/>
        </w:rPr>
        <w:t>2231</w:t>
      </w:r>
      <w:r w:rsidRPr="008D2CB8">
        <w:rPr>
          <w:rFonts w:eastAsia="맑은 고딕"/>
          <w:lang w:eastAsia="ko-KR"/>
        </w:rPr>
        <w:t>, “</w:t>
      </w:r>
      <w:r w:rsidR="003F5691" w:rsidRPr="003F5691">
        <w:t>Draft CR on calculation of max data rate</w:t>
      </w:r>
      <w:r w:rsidRPr="008D2CB8">
        <w:rPr>
          <w:rFonts w:eastAsia="맑은 고딕"/>
          <w:lang w:eastAsia="ko-KR"/>
        </w:rPr>
        <w:t>”</w:t>
      </w:r>
      <w:r>
        <w:rPr>
          <w:rFonts w:eastAsia="맑은 고딕"/>
          <w:lang w:eastAsia="ko-KR"/>
        </w:rPr>
        <w:t>, RAN1#96, Feb. 2019</w:t>
      </w:r>
    </w:p>
    <w:p w14:paraId="14759CE4" w14:textId="0F3DE79B" w:rsidR="005F57C1" w:rsidRPr="00CB2496" w:rsidRDefault="005F57C1" w:rsidP="005F57C1">
      <w:pPr>
        <w:spacing w:after="0" w:line="360" w:lineRule="auto"/>
        <w:rPr>
          <w:lang w:val="fi-FI"/>
        </w:rPr>
      </w:pPr>
      <w:r w:rsidRPr="00CB2496">
        <w:rPr>
          <w:rFonts w:hint="eastAsia"/>
          <w:lang w:val="fi-FI"/>
        </w:rPr>
        <w:t>[</w:t>
      </w:r>
      <w:r>
        <w:rPr>
          <w:lang w:val="fi-FI"/>
        </w:rPr>
        <w:t>3</w:t>
      </w:r>
      <w:r w:rsidRPr="00CB2496">
        <w:rPr>
          <w:rFonts w:hint="eastAsia"/>
          <w:lang w:val="fi-FI"/>
        </w:rPr>
        <w:t xml:space="preserve">] </w:t>
      </w:r>
      <w:r w:rsidRPr="008D2CB8">
        <w:rPr>
          <w:rFonts w:eastAsia="맑은 고딕"/>
          <w:lang w:eastAsia="ko-KR"/>
        </w:rPr>
        <w:t>R</w:t>
      </w:r>
      <w:r>
        <w:rPr>
          <w:rFonts w:eastAsia="맑은 고딕"/>
          <w:lang w:eastAsia="ko-KR"/>
        </w:rPr>
        <w:t>1-190</w:t>
      </w:r>
      <w:r w:rsidR="00121C90">
        <w:rPr>
          <w:rFonts w:eastAsia="맑은 고딕"/>
          <w:lang w:eastAsia="ko-KR"/>
        </w:rPr>
        <w:t>2230</w:t>
      </w:r>
      <w:r w:rsidRPr="008D2CB8">
        <w:rPr>
          <w:rFonts w:eastAsia="맑은 고딕"/>
          <w:lang w:eastAsia="ko-KR"/>
        </w:rPr>
        <w:t>, “</w:t>
      </w:r>
      <w:r w:rsidR="003640E1" w:rsidRPr="00B91FFF">
        <w:t xml:space="preserve">Draft CR on </w:t>
      </w:r>
      <w:r w:rsidR="003640E1">
        <w:t>LBRM</w:t>
      </w:r>
      <w:r w:rsidRPr="008D2CB8">
        <w:rPr>
          <w:rFonts w:eastAsia="맑은 고딕"/>
          <w:lang w:eastAsia="ko-KR"/>
        </w:rPr>
        <w:t>”</w:t>
      </w:r>
      <w:r>
        <w:rPr>
          <w:rFonts w:eastAsia="맑은 고딕"/>
          <w:lang w:eastAsia="ko-KR"/>
        </w:rPr>
        <w:t>, RAN1#96, Feb. 2019</w:t>
      </w:r>
      <w:bookmarkEnd w:id="15"/>
    </w:p>
    <w:sectPr w:rsidR="005F57C1" w:rsidRPr="00CB2496"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AF9FD" w14:textId="77777777" w:rsidR="001B5B35" w:rsidRPr="00C47AD2" w:rsidRDefault="001B5B35">
      <w:pPr>
        <w:rPr>
          <w:rFonts w:ascii="Arial" w:hAnsi="Arial"/>
          <w:sz w:val="12"/>
        </w:rPr>
      </w:pPr>
      <w:r>
        <w:separator/>
      </w:r>
    </w:p>
  </w:endnote>
  <w:endnote w:type="continuationSeparator" w:id="0">
    <w:p w14:paraId="70263F41" w14:textId="77777777" w:rsidR="001B5B35" w:rsidRPr="00C47AD2" w:rsidRDefault="001B5B3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140A98" w:rsidRDefault="00140A9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140A98" w:rsidRDefault="00140A9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1EDD3742" w:rsidR="00140A98" w:rsidRDefault="00140A9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094D7E">
      <w:rPr>
        <w:rStyle w:val="aff0"/>
      </w:rPr>
      <w:t>1</w:t>
    </w:r>
    <w:r>
      <w:rPr>
        <w:rStyle w:val="aff0"/>
      </w:rPr>
      <w:fldChar w:fldCharType="end"/>
    </w:r>
  </w:p>
  <w:p w14:paraId="627E69E3" w14:textId="77777777" w:rsidR="00140A98" w:rsidRDefault="00140A9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61470" w14:textId="77777777" w:rsidR="001B5B35" w:rsidRPr="00C47AD2" w:rsidRDefault="001B5B35">
      <w:pPr>
        <w:rPr>
          <w:rFonts w:ascii="Arial" w:hAnsi="Arial"/>
          <w:sz w:val="12"/>
        </w:rPr>
      </w:pPr>
      <w:r>
        <w:separator/>
      </w:r>
    </w:p>
  </w:footnote>
  <w:footnote w:type="continuationSeparator" w:id="0">
    <w:p w14:paraId="7DBB1717" w14:textId="77777777" w:rsidR="001B5B35" w:rsidRPr="00C47AD2" w:rsidRDefault="001B5B3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140A98" w:rsidRDefault="00140A9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614578"/>
    <w:multiLevelType w:val="hybridMultilevel"/>
    <w:tmpl w:val="882A1A56"/>
    <w:lvl w:ilvl="0" w:tplc="FFFFFFFF">
      <w:start w:val="1"/>
      <w:numFmt w:val="bullet"/>
      <w:lvlText w:val=""/>
      <w:lvlJc w:val="left"/>
      <w:pPr>
        <w:ind w:left="800" w:hanging="400"/>
      </w:pPr>
      <w:rPr>
        <w:rFonts w:ascii="Symbol" w:hAnsi="Symbol" w:hint="default"/>
      </w:rPr>
    </w:lvl>
    <w:lvl w:ilvl="1" w:tplc="118EE8C6">
      <w:numFmt w:val="bullet"/>
      <w:lvlText w:val="-"/>
      <w:lvlJc w:val="left"/>
      <w:pPr>
        <w:ind w:left="1200" w:hanging="400"/>
      </w:pPr>
      <w:rPr>
        <w:rFonts w:ascii="Times New Roman" w:eastAsia="Times New Roman" w:hAnsi="Times New Roman" w:cs="Times New Roman" w:hint="default"/>
        <w:lang w:val="en-GB"/>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2E1DE5"/>
    <w:multiLevelType w:val="hybridMultilevel"/>
    <w:tmpl w:val="370E5C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3E3521"/>
    <w:multiLevelType w:val="hybridMultilevel"/>
    <w:tmpl w:val="F18C52AA"/>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A54E45"/>
    <w:multiLevelType w:val="hybridMultilevel"/>
    <w:tmpl w:val="00F2BE52"/>
    <w:lvl w:ilvl="0" w:tplc="53FAF5F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943AE8"/>
    <w:multiLevelType w:val="hybridMultilevel"/>
    <w:tmpl w:val="4190AC10"/>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3EF03B12"/>
    <w:multiLevelType w:val="hybridMultilevel"/>
    <w:tmpl w:val="DEA4BCCA"/>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6CAE"/>
    <w:multiLevelType w:val="hybridMultilevel"/>
    <w:tmpl w:val="3A70287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B306B8"/>
    <w:multiLevelType w:val="hybridMultilevel"/>
    <w:tmpl w:val="CA7C9DE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42317F"/>
    <w:multiLevelType w:val="hybridMultilevel"/>
    <w:tmpl w:val="33C8D6A8"/>
    <w:lvl w:ilvl="0" w:tplc="D5804C60">
      <w:start w:val="1"/>
      <w:numFmt w:val="bullet"/>
      <w:lvlText w:val="-"/>
      <w:lvlJc w:val="left"/>
      <w:pPr>
        <w:ind w:left="1132" w:hanging="400"/>
      </w:pPr>
      <w:rPr>
        <w:rFonts w:ascii="Times New Roman" w:eastAsia="MS Mincho" w:hAnsi="Times New Roman" w:cs="Times New Roman" w:hint="default"/>
      </w:rPr>
    </w:lvl>
    <w:lvl w:ilvl="1" w:tplc="04090003" w:tentative="1">
      <w:start w:val="1"/>
      <w:numFmt w:val="bullet"/>
      <w:lvlText w:val=""/>
      <w:lvlJc w:val="left"/>
      <w:pPr>
        <w:ind w:left="1532" w:hanging="400"/>
      </w:pPr>
      <w:rPr>
        <w:rFonts w:ascii="Wingdings" w:hAnsi="Wingdings" w:hint="default"/>
      </w:rPr>
    </w:lvl>
    <w:lvl w:ilvl="2" w:tplc="04090005" w:tentative="1">
      <w:start w:val="1"/>
      <w:numFmt w:val="bullet"/>
      <w:lvlText w:val=""/>
      <w:lvlJc w:val="left"/>
      <w:pPr>
        <w:ind w:left="1932" w:hanging="400"/>
      </w:pPr>
      <w:rPr>
        <w:rFonts w:ascii="Wingdings" w:hAnsi="Wingdings" w:hint="default"/>
      </w:rPr>
    </w:lvl>
    <w:lvl w:ilvl="3" w:tplc="04090001" w:tentative="1">
      <w:start w:val="1"/>
      <w:numFmt w:val="bullet"/>
      <w:lvlText w:val=""/>
      <w:lvlJc w:val="left"/>
      <w:pPr>
        <w:ind w:left="2332" w:hanging="400"/>
      </w:pPr>
      <w:rPr>
        <w:rFonts w:ascii="Wingdings" w:hAnsi="Wingdings" w:hint="default"/>
      </w:rPr>
    </w:lvl>
    <w:lvl w:ilvl="4" w:tplc="04090003" w:tentative="1">
      <w:start w:val="1"/>
      <w:numFmt w:val="bullet"/>
      <w:lvlText w:val=""/>
      <w:lvlJc w:val="left"/>
      <w:pPr>
        <w:ind w:left="2732" w:hanging="400"/>
      </w:pPr>
      <w:rPr>
        <w:rFonts w:ascii="Wingdings" w:hAnsi="Wingdings" w:hint="default"/>
      </w:rPr>
    </w:lvl>
    <w:lvl w:ilvl="5" w:tplc="04090005" w:tentative="1">
      <w:start w:val="1"/>
      <w:numFmt w:val="bullet"/>
      <w:lvlText w:val=""/>
      <w:lvlJc w:val="left"/>
      <w:pPr>
        <w:ind w:left="3132" w:hanging="400"/>
      </w:pPr>
      <w:rPr>
        <w:rFonts w:ascii="Wingdings" w:hAnsi="Wingdings" w:hint="default"/>
      </w:rPr>
    </w:lvl>
    <w:lvl w:ilvl="6" w:tplc="04090001" w:tentative="1">
      <w:start w:val="1"/>
      <w:numFmt w:val="bullet"/>
      <w:lvlText w:val=""/>
      <w:lvlJc w:val="left"/>
      <w:pPr>
        <w:ind w:left="3532" w:hanging="400"/>
      </w:pPr>
      <w:rPr>
        <w:rFonts w:ascii="Wingdings" w:hAnsi="Wingdings" w:hint="default"/>
      </w:rPr>
    </w:lvl>
    <w:lvl w:ilvl="7" w:tplc="04090003" w:tentative="1">
      <w:start w:val="1"/>
      <w:numFmt w:val="bullet"/>
      <w:lvlText w:val=""/>
      <w:lvlJc w:val="left"/>
      <w:pPr>
        <w:ind w:left="3932" w:hanging="400"/>
      </w:pPr>
      <w:rPr>
        <w:rFonts w:ascii="Wingdings" w:hAnsi="Wingdings" w:hint="default"/>
      </w:rPr>
    </w:lvl>
    <w:lvl w:ilvl="8" w:tplc="04090005" w:tentative="1">
      <w:start w:val="1"/>
      <w:numFmt w:val="bullet"/>
      <w:lvlText w:val=""/>
      <w:lvlJc w:val="left"/>
      <w:pPr>
        <w:ind w:left="4332" w:hanging="40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D0C71C0"/>
    <w:multiLevelType w:val="hybridMultilevel"/>
    <w:tmpl w:val="36F817CE"/>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734A6"/>
    <w:multiLevelType w:val="hybridMultilevel"/>
    <w:tmpl w:val="6FEADCC8"/>
    <w:lvl w:ilvl="0" w:tplc="E8C6AF88">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D56023"/>
    <w:multiLevelType w:val="hybridMultilevel"/>
    <w:tmpl w:val="BD1447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9D0B43"/>
    <w:multiLevelType w:val="hybridMultilevel"/>
    <w:tmpl w:val="6B9E1CA2"/>
    <w:lvl w:ilvl="0" w:tplc="9CC47254">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B3560"/>
    <w:multiLevelType w:val="hybridMultilevel"/>
    <w:tmpl w:val="C562BF0C"/>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5"/>
  </w:num>
  <w:num w:numId="6">
    <w:abstractNumId w:val="44"/>
  </w:num>
  <w:num w:numId="7">
    <w:abstractNumId w:val="27"/>
  </w:num>
  <w:num w:numId="8">
    <w:abstractNumId w:val="24"/>
  </w:num>
  <w:num w:numId="9">
    <w:abstractNumId w:val="40"/>
  </w:num>
  <w:num w:numId="10">
    <w:abstractNumId w:val="4"/>
  </w:num>
  <w:num w:numId="11">
    <w:abstractNumId w:val="8"/>
  </w:num>
  <w:num w:numId="12">
    <w:abstractNumId w:val="2"/>
  </w:num>
  <w:num w:numId="13">
    <w:abstractNumId w:val="42"/>
  </w:num>
  <w:num w:numId="14">
    <w:abstractNumId w:val="32"/>
  </w:num>
  <w:num w:numId="15">
    <w:abstractNumId w:val="19"/>
  </w:num>
  <w:num w:numId="16">
    <w:abstractNumId w:val="21"/>
  </w:num>
  <w:num w:numId="17">
    <w:abstractNumId w:val="28"/>
  </w:num>
  <w:num w:numId="18">
    <w:abstractNumId w:val="11"/>
  </w:num>
  <w:num w:numId="19">
    <w:abstractNumId w:val="34"/>
  </w:num>
  <w:num w:numId="20">
    <w:abstractNumId w:val="36"/>
  </w:num>
  <w:num w:numId="21">
    <w:abstractNumId w:val="26"/>
  </w:num>
  <w:num w:numId="22">
    <w:abstractNumId w:val="7"/>
  </w:num>
  <w:num w:numId="23">
    <w:abstractNumId w:val="30"/>
  </w:num>
  <w:num w:numId="24">
    <w:abstractNumId w:val="22"/>
  </w:num>
  <w:num w:numId="25">
    <w:abstractNumId w:val="9"/>
  </w:num>
  <w:num w:numId="26">
    <w:abstractNumId w:val="35"/>
  </w:num>
  <w:num w:numId="27">
    <w:abstractNumId w:val="31"/>
  </w:num>
  <w:num w:numId="28">
    <w:abstractNumId w:val="17"/>
  </w:num>
  <w:num w:numId="29">
    <w:abstractNumId w:val="41"/>
  </w:num>
  <w:num w:numId="30">
    <w:abstractNumId w:val="38"/>
  </w:num>
  <w:num w:numId="31">
    <w:abstractNumId w:val="1"/>
  </w:num>
  <w:num w:numId="32">
    <w:abstractNumId w:val="37"/>
  </w:num>
  <w:num w:numId="33">
    <w:abstractNumId w:val="20"/>
  </w:num>
  <w:num w:numId="34">
    <w:abstractNumId w:val="43"/>
  </w:num>
  <w:num w:numId="35">
    <w:abstractNumId w:val="10"/>
  </w:num>
  <w:num w:numId="36">
    <w:abstractNumId w:val="33"/>
  </w:num>
  <w:num w:numId="37">
    <w:abstractNumId w:val="15"/>
  </w:num>
  <w:num w:numId="38">
    <w:abstractNumId w:val="3"/>
  </w:num>
  <w:num w:numId="39">
    <w:abstractNumId w:val="23"/>
  </w:num>
  <w:num w:numId="40">
    <w:abstractNumId w:val="29"/>
  </w:num>
  <w:num w:numId="41">
    <w:abstractNumId w:val="13"/>
  </w:num>
  <w:num w:numId="42">
    <w:abstractNumId w:val="18"/>
  </w:num>
  <w:num w:numId="43">
    <w:abstractNumId w:val="5"/>
  </w:num>
  <w:num w:numId="44">
    <w:abstractNumId w:val="6"/>
  </w:num>
  <w:num w:numId="45">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4D7E"/>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A7F7C"/>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4EB"/>
    <w:rsid w:val="000C7645"/>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2EDE"/>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2DB6"/>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24D"/>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90"/>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98"/>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8AC"/>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B35"/>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B4B"/>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BD7"/>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0E1"/>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301"/>
    <w:rsid w:val="003F55DE"/>
    <w:rsid w:val="003F5691"/>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1E8"/>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3C6"/>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2953"/>
    <w:rsid w:val="004E3046"/>
    <w:rsid w:val="004E3C0E"/>
    <w:rsid w:val="004E3DDD"/>
    <w:rsid w:val="004E419C"/>
    <w:rsid w:val="004E470D"/>
    <w:rsid w:val="004E48C6"/>
    <w:rsid w:val="004E4ADF"/>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B5B"/>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393"/>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7C1"/>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2FD"/>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72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8B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C42"/>
    <w:rsid w:val="0078769C"/>
    <w:rsid w:val="00787A37"/>
    <w:rsid w:val="0079036B"/>
    <w:rsid w:val="007903F1"/>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8B5"/>
    <w:rsid w:val="007B7B26"/>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56E"/>
    <w:rsid w:val="00885CFB"/>
    <w:rsid w:val="00885DF0"/>
    <w:rsid w:val="00886050"/>
    <w:rsid w:val="008867F5"/>
    <w:rsid w:val="00886969"/>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BEB"/>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C7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0FE8"/>
    <w:rsid w:val="00A1126B"/>
    <w:rsid w:val="00A11796"/>
    <w:rsid w:val="00A11993"/>
    <w:rsid w:val="00A11C30"/>
    <w:rsid w:val="00A125C0"/>
    <w:rsid w:val="00A12EAF"/>
    <w:rsid w:val="00A13092"/>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7F6"/>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918"/>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333"/>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0E79"/>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053"/>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13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B58"/>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3AA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B60"/>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B0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C8F"/>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199"/>
    <w:rsid w:val="00F1425B"/>
    <w:rsid w:val="00F14567"/>
    <w:rsid w:val="00F145EE"/>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49F7"/>
    <w:rsid w:val="00F85097"/>
    <w:rsid w:val="00F851E3"/>
    <w:rsid w:val="00F853EF"/>
    <w:rsid w:val="00F854A6"/>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351"/>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71AC442-168D-48D7-A492-D778DFEEF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uiPriority w:val="99"/>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9"/>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9"/>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9"/>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9"/>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1283353">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7729">
      <w:bodyDiv w:val="1"/>
      <w:marLeft w:val="0"/>
      <w:marRight w:val="0"/>
      <w:marTop w:val="0"/>
      <w:marBottom w:val="0"/>
      <w:divBdr>
        <w:top w:val="none" w:sz="0" w:space="0" w:color="auto"/>
        <w:left w:val="none" w:sz="0" w:space="0" w:color="auto"/>
        <w:bottom w:val="none" w:sz="0" w:space="0" w:color="auto"/>
        <w:right w:val="none" w:sz="0" w:space="0" w:color="auto"/>
      </w:divBdr>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89179789">
      <w:bodyDiv w:val="1"/>
      <w:marLeft w:val="0"/>
      <w:marRight w:val="0"/>
      <w:marTop w:val="0"/>
      <w:marBottom w:val="0"/>
      <w:divBdr>
        <w:top w:val="none" w:sz="0" w:space="0" w:color="auto"/>
        <w:left w:val="none" w:sz="0" w:space="0" w:color="auto"/>
        <w:bottom w:val="none" w:sz="0" w:space="0" w:color="auto"/>
        <w:right w:val="none" w:sz="0" w:space="0" w:color="auto"/>
      </w:divBdr>
    </w:div>
    <w:div w:id="70721807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67C61-BB74-4E13-814D-508D9613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4</Pages>
  <Words>1516</Words>
  <Characters>8646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41</cp:revision>
  <cp:lastPrinted>2010-03-24T01:20:00Z</cp:lastPrinted>
  <dcterms:created xsi:type="dcterms:W3CDTF">2019-01-10T04:24:00Z</dcterms:created>
  <dcterms:modified xsi:type="dcterms:W3CDTF">2019-02-15T08:27:00Z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